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0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953526" w:rsidRPr="00C13041" w14:paraId="3A7399F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4CBE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AEB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Muzej grada Šibenika</w:t>
            </w:r>
          </w:p>
        </w:tc>
      </w:tr>
      <w:tr w:rsidR="00953526" w:rsidRPr="00C13041" w14:paraId="5112395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8F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2F0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33771</w:t>
            </w:r>
          </w:p>
        </w:tc>
      </w:tr>
      <w:tr w:rsidR="00953526" w:rsidRPr="00C13041" w14:paraId="1AB537AE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C7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373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Šibenik</w:t>
            </w:r>
          </w:p>
        </w:tc>
      </w:tr>
      <w:tr w:rsidR="00953526" w:rsidRPr="00C13041" w14:paraId="705706B8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CA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FED6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3019594</w:t>
            </w:r>
          </w:p>
        </w:tc>
      </w:tr>
      <w:tr w:rsidR="00953526" w:rsidRPr="00C13041" w14:paraId="21EF2745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CC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28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Gradska vrata 3</w:t>
            </w:r>
          </w:p>
        </w:tc>
      </w:tr>
      <w:tr w:rsidR="00953526" w:rsidRPr="00C13041" w14:paraId="627A1A1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593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299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35703758632</w:t>
            </w:r>
          </w:p>
        </w:tc>
      </w:tr>
      <w:tr w:rsidR="00953526" w:rsidRPr="00C13041" w14:paraId="5AB0A28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F9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9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30 - Ustanova</w:t>
            </w:r>
          </w:p>
        </w:tc>
      </w:tr>
      <w:tr w:rsidR="00953526" w:rsidRPr="00C13041" w14:paraId="10A8CA31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368B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503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21 - Proračunski korisnik proračuna JLP(R)S</w:t>
            </w:r>
          </w:p>
        </w:tc>
      </w:tr>
      <w:tr w:rsidR="00953526" w:rsidRPr="00C13041" w14:paraId="1DA2FA19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CB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33D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3526" w:rsidRPr="00C13041" w14:paraId="515A1A76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5FC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4A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0820 Službe kulture</w:t>
            </w:r>
          </w:p>
        </w:tc>
      </w:tr>
      <w:tr w:rsidR="00953526" w:rsidRPr="00C13041" w14:paraId="0A66C8B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040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4A6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9102</w:t>
            </w:r>
          </w:p>
        </w:tc>
      </w:tr>
      <w:tr w:rsidR="00953526" w:rsidRPr="00C13041" w14:paraId="7262A940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EB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4F7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15 – Šibensko-kninska županija</w:t>
            </w:r>
          </w:p>
        </w:tc>
      </w:tr>
      <w:tr w:rsidR="00953526" w:rsidRPr="00C13041" w14:paraId="58BED694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E35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CB2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444 – Grad Šibenik</w:t>
            </w:r>
          </w:p>
        </w:tc>
      </w:tr>
      <w:tr w:rsidR="00953526" w:rsidRPr="00C13041" w14:paraId="51784EB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5F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40C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 xml:space="preserve">mr. sc. Željko </w:t>
            </w:r>
            <w:proofErr w:type="spellStart"/>
            <w:r w:rsidRPr="00EE0B64">
              <w:rPr>
                <w:rFonts w:ascii="Times New Roman" w:eastAsia="Times New Roman" w:hAnsi="Times New Roman" w:cs="Times New Roman"/>
                <w:color w:val="000000"/>
              </w:rPr>
              <w:t>Krnčević</w:t>
            </w:r>
            <w:proofErr w:type="spellEnd"/>
            <w:r w:rsidRPr="00EE0B64">
              <w:rPr>
                <w:rFonts w:ascii="Times New Roman" w:eastAsia="Times New Roman" w:hAnsi="Times New Roman" w:cs="Times New Roman"/>
                <w:color w:val="000000"/>
              </w:rPr>
              <w:t>, ravnatelj</w:t>
            </w:r>
          </w:p>
        </w:tc>
      </w:tr>
      <w:tr w:rsidR="00953526" w:rsidRPr="00C13041" w14:paraId="4A51B31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D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5AF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0E60E" w14:textId="77777777" w:rsidR="00953526" w:rsidRDefault="00953526" w:rsidP="00953526">
      <w:pPr>
        <w:spacing w:before="120" w:after="0"/>
        <w:jc w:val="center"/>
        <w:rPr>
          <w:b/>
          <w:bCs/>
          <w:sz w:val="28"/>
          <w:szCs w:val="24"/>
        </w:rPr>
      </w:pPr>
    </w:p>
    <w:p w14:paraId="2996795C" w14:textId="561139E2" w:rsidR="00953526" w:rsidRPr="00B033D6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3D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CF4E4C">
        <w:rPr>
          <w:rFonts w:ascii="Times New Roman" w:hAnsi="Times New Roman" w:cs="Times New Roman"/>
          <w:b/>
          <w:bCs/>
          <w:sz w:val="24"/>
          <w:szCs w:val="24"/>
        </w:rPr>
        <w:t>II. IZMJENA I DOPUNA</w:t>
      </w:r>
    </w:p>
    <w:p w14:paraId="0CBA82D6" w14:textId="511CD5F2" w:rsidR="00953526" w:rsidRPr="00B033D6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3D6">
        <w:rPr>
          <w:rFonts w:ascii="Times New Roman" w:hAnsi="Times New Roman" w:cs="Times New Roman"/>
          <w:b/>
          <w:bCs/>
          <w:sz w:val="24"/>
          <w:szCs w:val="24"/>
        </w:rPr>
        <w:t>FINANCIJSKOG PLANA MUZEJA GRADA ŠIBENIKA ZA 202</w:t>
      </w:r>
      <w:r w:rsidR="00CF4E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33D6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14:paraId="6A39F8FF" w14:textId="77777777" w:rsidR="00953526" w:rsidRPr="00EE0B64" w:rsidRDefault="00953526" w:rsidP="00953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D1243C0" w14:textId="4A98C2EB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Prema Zakonu o proračunu </w:t>
      </w:r>
      <w:bookmarkStart w:id="0" w:name="_Hlk113876349"/>
      <w:r w:rsidRPr="00EE0B64">
        <w:rPr>
          <w:rFonts w:ascii="Times New Roman" w:hAnsi="Times New Roman" w:cs="Times New Roman"/>
          <w:sz w:val="24"/>
          <w:szCs w:val="24"/>
        </w:rPr>
        <w:t>(Nar. nov., br. 144/21.)</w:t>
      </w:r>
      <w:bookmarkEnd w:id="0"/>
      <w:r w:rsidRPr="00EE0B64">
        <w:rPr>
          <w:rFonts w:ascii="Times New Roman" w:hAnsi="Times New Roman" w:cs="Times New Roman"/>
          <w:sz w:val="24"/>
          <w:szCs w:val="24"/>
        </w:rPr>
        <w:t>, Pravilniku o proračunskim klasifikacijama (Nar. nov., br. 26/10., 120/13.</w:t>
      </w:r>
      <w:r w:rsidR="00DA57A5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 xml:space="preserve">i 01/20.), Pravilniku o proračunskom računovodstvu i Računskom planu (Nar. nov., br. 124/14., 115/15., 87/16., 3/18., 126/19. i 108/20.) i Uputi za izradu Proračuna Grada Šibenika i financijskih planova za razdoblje 2023. – 2025., od  </w:t>
      </w:r>
      <w:r w:rsidR="00DA57A5" w:rsidRPr="00DA57A5">
        <w:rPr>
          <w:rFonts w:ascii="Times New Roman" w:hAnsi="Times New Roman" w:cs="Times New Roman"/>
          <w:sz w:val="24"/>
          <w:szCs w:val="24"/>
        </w:rPr>
        <w:t>0</w:t>
      </w:r>
      <w:r w:rsidRPr="00DA57A5">
        <w:rPr>
          <w:rFonts w:ascii="Times New Roman" w:hAnsi="Times New Roman" w:cs="Times New Roman"/>
          <w:sz w:val="24"/>
          <w:szCs w:val="24"/>
        </w:rPr>
        <w:t xml:space="preserve">3. </w:t>
      </w:r>
      <w:r w:rsidR="00DA57A5" w:rsidRPr="00DA57A5">
        <w:rPr>
          <w:rFonts w:ascii="Times New Roman" w:hAnsi="Times New Roman" w:cs="Times New Roman"/>
          <w:sz w:val="24"/>
          <w:szCs w:val="24"/>
        </w:rPr>
        <w:t>listopada</w:t>
      </w:r>
      <w:r w:rsidRPr="00DA57A5">
        <w:rPr>
          <w:rFonts w:ascii="Times New Roman" w:hAnsi="Times New Roman" w:cs="Times New Roman"/>
          <w:sz w:val="24"/>
          <w:szCs w:val="24"/>
        </w:rPr>
        <w:t xml:space="preserve"> 202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.</w:t>
      </w:r>
      <w:r w:rsidRPr="00EE0B64">
        <w:rPr>
          <w:rFonts w:ascii="Times New Roman" w:hAnsi="Times New Roman" w:cs="Times New Roman"/>
          <w:sz w:val="24"/>
          <w:szCs w:val="24"/>
        </w:rPr>
        <w:t xml:space="preserve"> godine (KLASA: </w:t>
      </w:r>
      <w:r w:rsidRPr="00DA57A5">
        <w:rPr>
          <w:rFonts w:ascii="Times New Roman" w:hAnsi="Times New Roman" w:cs="Times New Roman"/>
          <w:sz w:val="24"/>
          <w:szCs w:val="24"/>
        </w:rPr>
        <w:t>400-0</w:t>
      </w:r>
      <w:r w:rsidR="00DA57A5" w:rsidRPr="00DA57A5">
        <w:rPr>
          <w:rFonts w:ascii="Times New Roman" w:hAnsi="Times New Roman" w:cs="Times New Roman"/>
          <w:sz w:val="24"/>
          <w:szCs w:val="24"/>
        </w:rPr>
        <w:t>1</w:t>
      </w:r>
      <w:r w:rsidRPr="00DA57A5">
        <w:rPr>
          <w:rFonts w:ascii="Times New Roman" w:hAnsi="Times New Roman" w:cs="Times New Roman"/>
          <w:sz w:val="24"/>
          <w:szCs w:val="24"/>
        </w:rPr>
        <w:t>/2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-01/</w:t>
      </w:r>
      <w:r w:rsidR="00DA57A5">
        <w:rPr>
          <w:rFonts w:ascii="Times New Roman" w:hAnsi="Times New Roman" w:cs="Times New Roman"/>
          <w:sz w:val="24"/>
          <w:szCs w:val="24"/>
        </w:rPr>
        <w:t>06</w:t>
      </w:r>
      <w:r w:rsidRPr="00EE0B64"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A57A5">
        <w:rPr>
          <w:rFonts w:ascii="Times New Roman" w:hAnsi="Times New Roman" w:cs="Times New Roman"/>
          <w:sz w:val="24"/>
          <w:szCs w:val="24"/>
        </w:rPr>
        <w:t>2182</w:t>
      </w:r>
      <w:r w:rsidR="00DA57A5" w:rsidRPr="00DA57A5">
        <w:rPr>
          <w:rFonts w:ascii="Times New Roman" w:hAnsi="Times New Roman" w:cs="Times New Roman"/>
          <w:sz w:val="24"/>
          <w:szCs w:val="24"/>
        </w:rPr>
        <w:t>-</w:t>
      </w:r>
      <w:r w:rsidRPr="00DA57A5">
        <w:rPr>
          <w:rFonts w:ascii="Times New Roman" w:hAnsi="Times New Roman" w:cs="Times New Roman"/>
          <w:sz w:val="24"/>
          <w:szCs w:val="24"/>
        </w:rPr>
        <w:t>01-06-2</w:t>
      </w:r>
      <w:r w:rsidR="00DA57A5" w:rsidRPr="00DA57A5">
        <w:rPr>
          <w:rFonts w:ascii="Times New Roman" w:hAnsi="Times New Roman" w:cs="Times New Roman"/>
          <w:sz w:val="24"/>
          <w:szCs w:val="24"/>
        </w:rPr>
        <w:t>2</w:t>
      </w:r>
      <w:r w:rsidRPr="00DA57A5">
        <w:rPr>
          <w:rFonts w:ascii="Times New Roman" w:hAnsi="Times New Roman" w:cs="Times New Roman"/>
          <w:sz w:val="24"/>
          <w:szCs w:val="24"/>
        </w:rPr>
        <w:t>-1</w:t>
      </w:r>
      <w:r w:rsidRPr="00EE0B64">
        <w:rPr>
          <w:rFonts w:ascii="Times New Roman" w:hAnsi="Times New Roman" w:cs="Times New Roman"/>
          <w:sz w:val="24"/>
          <w:szCs w:val="24"/>
        </w:rPr>
        <w:t>).</w:t>
      </w:r>
    </w:p>
    <w:p w14:paraId="50BDF2EB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F6DE" w14:textId="53CDC36A" w:rsidR="00953526" w:rsidRPr="00B033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 xml:space="preserve">Sažetak djelokruga rada proračunskog korisnika </w:t>
      </w:r>
    </w:p>
    <w:p w14:paraId="4C375FCA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Muzej grada Šibenika (u daljnjem tekstu: Muzej) je pravna osoba, osnovana kao javna ustanova u kulturi za trajno obavljanje muzejske djelatnost od javnog interesa u svrhu proučavanja, obrazovanja i uživanja u materijalnoj i nematerijalnoj baštini čovječanstva i njegova okoliša, u službi društva i njegova kulturnog i gospodarskog razvitka, otvorena za javnost. </w:t>
      </w:r>
    </w:p>
    <w:p w14:paraId="0362AA9E" w14:textId="0D701CF8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je povezan u Sustav muzeja Republike Hrvatske radi primjene jedinstvenog stručnog pristupa obavljanju muzejske djelatnosti. Osnivač Muzeja je Grad Šibenik. Muzej ima status proračunskog korisnika te kao takav financijsko poslovanje i računovodstvo vodi u skladu s propisima za proračunske korisnike</w:t>
      </w:r>
      <w:r w:rsidR="005E1E34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7B3827E4" w14:textId="79D56F3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Djelatnosti Muzeja jesu: prikupljanje muzejske građe i muzejske dokumentacije sukladno svojoj misiji i politici s</w:t>
      </w:r>
      <w:r w:rsidR="00AF1670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kupljanja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čuvanje muzejskih predmeta u odgovarajućim uvjetima</w:t>
      </w:r>
      <w:r w:rsidR="00C07C42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zaštita cjelokupne muzejske građe, muzejske dokumentacije, baštinskih lokaliteta i nalazišta u svrhu obrazovanja, proučavanja i uživanja u skladu s propisima o zaštiti i očuvanju kulturnih dobara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vođenje propisane dokumentacije o muzejskim predmetima, zbirkama i aktivnostima muzeja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stalnih i povremenih izložbi te stručno vođenje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3951DE">
        <w:rPr>
          <w:rFonts w:ascii="Times New Roman" w:hAnsi="Times New Roman" w:cs="Times New Roman"/>
          <w:sz w:val="24"/>
          <w:szCs w:val="24"/>
        </w:rPr>
        <w:t>provođenje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3951DE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izdavačk</w:t>
      </w:r>
      <w:r w:rsidR="003951DE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3951DE">
        <w:rPr>
          <w:rFonts w:ascii="Times New Roman" w:hAnsi="Times New Roman" w:cs="Times New Roman"/>
          <w:sz w:val="24"/>
          <w:szCs w:val="24"/>
        </w:rPr>
        <w:t>; organiziranje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predavanja, konferencija i stručnih skupova</w:t>
      </w:r>
      <w:r w:rsidR="003951DE">
        <w:rPr>
          <w:rFonts w:ascii="Times New Roman" w:hAnsi="Times New Roman" w:cs="Times New Roman"/>
          <w:sz w:val="24"/>
          <w:szCs w:val="24"/>
        </w:rPr>
        <w:t xml:space="preserve">, </w:t>
      </w:r>
      <w:r w:rsidRPr="00EE0B64">
        <w:rPr>
          <w:rFonts w:ascii="Times New Roman" w:hAnsi="Times New Roman" w:cs="Times New Roman"/>
          <w:sz w:val="24"/>
          <w:szCs w:val="24"/>
        </w:rPr>
        <w:t>edukativnih aktivnosti i radionica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podržavanje i organiziranje umjetničkih i kulturnih događanja u okviru svog djelokruga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76D50">
        <w:rPr>
          <w:rFonts w:ascii="Times New Roman" w:hAnsi="Times New Roman" w:cs="Times New Roman"/>
          <w:sz w:val="24"/>
          <w:szCs w:val="24"/>
        </w:rPr>
        <w:t>obavljanje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poslov</w:t>
      </w:r>
      <w:r w:rsidR="00553F33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upravljanja muzejsk</w:t>
      </w:r>
      <w:r w:rsidR="00576D50">
        <w:rPr>
          <w:rFonts w:ascii="Times New Roman" w:hAnsi="Times New Roman" w:cs="Times New Roman"/>
          <w:sz w:val="24"/>
          <w:szCs w:val="24"/>
        </w:rPr>
        <w:t>im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</w:t>
      </w:r>
      <w:r w:rsidR="00576D50">
        <w:rPr>
          <w:rFonts w:ascii="Times New Roman" w:hAnsi="Times New Roman" w:cs="Times New Roman"/>
          <w:sz w:val="24"/>
          <w:szCs w:val="24"/>
        </w:rPr>
        <w:t>ama od strane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stručni</w:t>
      </w:r>
      <w:r w:rsidR="00576D50">
        <w:rPr>
          <w:rFonts w:ascii="Times New Roman" w:hAnsi="Times New Roman" w:cs="Times New Roman"/>
          <w:sz w:val="24"/>
          <w:szCs w:val="24"/>
        </w:rPr>
        <w:t>h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>djelatni</w:t>
      </w:r>
      <w:r w:rsidR="00576D50">
        <w:rPr>
          <w:rFonts w:ascii="Times New Roman" w:hAnsi="Times New Roman" w:cs="Times New Roman"/>
          <w:sz w:val="24"/>
          <w:szCs w:val="24"/>
        </w:rPr>
        <w:t>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sukladno standardima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D0AFD">
        <w:rPr>
          <w:rFonts w:ascii="Times New Roman" w:hAnsi="Times New Roman" w:cs="Times New Roman"/>
          <w:sz w:val="24"/>
          <w:szCs w:val="24"/>
        </w:rPr>
        <w:t>omogućavanje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dostupnosti zbirki u obrazovne, stručne i znanstvene svrhe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provođenje digitalizacije muzejske građe, obavljanje revizije muzejske građe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procjene povijesne, znanstvene, umjetničke i tržišne vrijednosti muzejske građe za potrebe upravljanja imovinom, za osiguranje i otkup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izrada stručnih mišljenja, vještačenja i elaborata o muzejskom predmetu, građi, zbirci o kojoj skrbi i drugim kulturnim dobrima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izrade i prodaje suvenira i predmeta te izdavanje i prodaj</w:t>
      </w:r>
      <w:r w:rsidR="005A4627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publikacija tematski vezanih uz fundus i program muzeja</w:t>
      </w:r>
      <w:r w:rsidR="009E4447">
        <w:rPr>
          <w:rFonts w:ascii="Times New Roman" w:hAnsi="Times New Roman" w:cs="Times New Roman"/>
          <w:sz w:val="24"/>
          <w:szCs w:val="24"/>
        </w:rPr>
        <w:t xml:space="preserve"> te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i drugih djelatnosti sukladno Zakonu o muzejima. </w:t>
      </w:r>
    </w:p>
    <w:p w14:paraId="5F24F141" w14:textId="2194D944" w:rsidR="001B430C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Ustrojstvo i upravljanje Muzejom uređeno je Statutom Muzeja. Tijela Muzeja su ravnatelj, upravno vijeće i stručno vijeće. Ravnatelj upravlja Muzejom te predstavlja i zastupa Muzej u pravnom prometu i pred tijelima javne vlasti. Upravno vijeće usvaja program rada i razvitka na prijedlog ravnatelja i uz pribavljeno mišljenje stručnog vijeća; usvaja financijski plan, financijski izvještaj, izvještaj o izvršenju financijskog plana te izvješće o izvršenju programa rada i razvitka Muzeja; donosi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tatut uz prethodnu suglasnost osnivača te druge akte sukladno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>tatutu. Stručno vijeće, sačinjeno od stručnih muzejskih djelatnik</w:t>
      </w:r>
      <w:r w:rsidR="00F53D25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, raspravlja o stručnim pitanjima rada </w:t>
      </w:r>
      <w:r w:rsidR="006330BA">
        <w:rPr>
          <w:rFonts w:ascii="Times New Roman" w:hAnsi="Times New Roman" w:cs="Times New Roman"/>
          <w:sz w:val="24"/>
          <w:szCs w:val="24"/>
        </w:rPr>
        <w:t>M</w:t>
      </w:r>
      <w:r w:rsidRPr="00EE0B64">
        <w:rPr>
          <w:rFonts w:ascii="Times New Roman" w:hAnsi="Times New Roman" w:cs="Times New Roman"/>
          <w:sz w:val="24"/>
          <w:szCs w:val="24"/>
        </w:rPr>
        <w:t xml:space="preserve">uzeja, razmatra i predlaže programe rada, izvješća o radu i daje mišljenja i prijedloge u vezi s razvojem djelatnosti. Radi obavljanja muzejske djelatnosti te poslovanja Muzeja kao ustanove u pravnom i ekonomskom smislu, Muzej je ustrojen u odjele i službe: Arheološki odjel, </w:t>
      </w:r>
      <w:r w:rsidR="001B430C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djel</w:t>
      </w:r>
      <w:r w:rsidR="001B430C">
        <w:rPr>
          <w:rFonts w:ascii="Times New Roman" w:hAnsi="Times New Roman" w:cs="Times New Roman"/>
          <w:sz w:val="24"/>
          <w:szCs w:val="24"/>
        </w:rPr>
        <w:t xml:space="preserve"> dokumentacije</w:t>
      </w:r>
      <w:r w:rsidRPr="00EE0B64">
        <w:rPr>
          <w:rFonts w:ascii="Times New Roman" w:hAnsi="Times New Roman" w:cs="Times New Roman"/>
          <w:sz w:val="24"/>
          <w:szCs w:val="24"/>
        </w:rPr>
        <w:t xml:space="preserve">, Etnografski odjel, Konzervatorsko-restauratorski odjel, Kulturno-povijesni odjel, Odjel </w:t>
      </w:r>
      <w:r w:rsidR="001B430C">
        <w:rPr>
          <w:rFonts w:ascii="Times New Roman" w:hAnsi="Times New Roman" w:cs="Times New Roman"/>
          <w:sz w:val="24"/>
          <w:szCs w:val="24"/>
        </w:rPr>
        <w:t>n</w:t>
      </w:r>
      <w:r w:rsidRPr="00EE0B64">
        <w:rPr>
          <w:rFonts w:ascii="Times New Roman" w:hAnsi="Times New Roman" w:cs="Times New Roman"/>
          <w:sz w:val="24"/>
          <w:szCs w:val="24"/>
        </w:rPr>
        <w:t xml:space="preserve">ovije </w:t>
      </w:r>
      <w:r w:rsidR="001B430C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ovijesti, Službu općih poslova i Financijsko-računovodstvenu službu. Ukupno je zaposlen 21 djelatnik.</w:t>
      </w:r>
    </w:p>
    <w:p w14:paraId="354AE283" w14:textId="5114E5CE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E255" w14:textId="2F9D2981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70B">
        <w:rPr>
          <w:rFonts w:ascii="Times New Roman" w:hAnsi="Times New Roman" w:cs="Times New Roman"/>
          <w:sz w:val="24"/>
          <w:szCs w:val="24"/>
          <w:u w:val="single"/>
        </w:rPr>
        <w:t>Obrazloženje općeg dijela financijskog plana Muzeja</w:t>
      </w:r>
    </w:p>
    <w:p w14:paraId="0072A87D" w14:textId="53158700" w:rsidR="00A93BF2" w:rsidRPr="00EE0B64" w:rsidRDefault="00A93BF2" w:rsidP="009535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u II. Izmjenama i dopunama financijskog plana Muzeja za 2022. godinu veći su u odnosu na osnovni plan za 8.216 kn te iznose 4.873.216 kn. Ukupni rashodi veći su za 6.217 kn </w:t>
      </w:r>
      <w:r w:rsidR="002B65A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iznose 4.63</w:t>
      </w:r>
      <w:r w:rsidR="003B78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.217 kn, od čega se 4.051.217 kn odnosi na rashode poslovanja, a 580.000 kn na rashode za nabavu nefinancijske imovine. Višak prihoda poslovanja odnosi se na pokriće manjka prihoda iz 2021. godine u iznosu od 220.999 kn te </w:t>
      </w:r>
      <w:r w:rsidR="002B65A3">
        <w:rPr>
          <w:rFonts w:ascii="Times New Roman" w:hAnsi="Times New Roman" w:cs="Times New Roman"/>
          <w:sz w:val="24"/>
          <w:szCs w:val="24"/>
        </w:rPr>
        <w:t>za izdatke za otplatu zajmova u iznosu od 21.000 kn.</w:t>
      </w:r>
    </w:p>
    <w:p w14:paraId="5ED674F8" w14:textId="28449123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Pregled izvora financiranja financijskog plana Muzeja</w:t>
      </w:r>
    </w:p>
    <w:p w14:paraId="05EEB474" w14:textId="64F73509" w:rsidR="00FF5C02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877416"/>
      <w:r w:rsidRPr="00EE0B64">
        <w:rPr>
          <w:rFonts w:ascii="Times New Roman" w:hAnsi="Times New Roman" w:cs="Times New Roman"/>
          <w:sz w:val="24"/>
          <w:szCs w:val="24"/>
        </w:rPr>
        <w:t>Ukupni plan</w:t>
      </w:r>
      <w:r w:rsidR="00C87C11">
        <w:rPr>
          <w:rFonts w:ascii="Times New Roman" w:hAnsi="Times New Roman" w:cs="Times New Roman"/>
          <w:sz w:val="24"/>
          <w:szCs w:val="24"/>
        </w:rPr>
        <w:t xml:space="preserve"> rashoda</w:t>
      </w:r>
      <w:r w:rsidR="00466388">
        <w:rPr>
          <w:rFonts w:ascii="Times New Roman" w:hAnsi="Times New Roman" w:cs="Times New Roman"/>
          <w:sz w:val="24"/>
          <w:szCs w:val="24"/>
        </w:rPr>
        <w:t xml:space="preserve"> iznosi 4.627.000 kn, </w:t>
      </w:r>
      <w:r w:rsidRPr="00EE0B64">
        <w:rPr>
          <w:rFonts w:ascii="Times New Roman" w:hAnsi="Times New Roman" w:cs="Times New Roman"/>
          <w:sz w:val="24"/>
          <w:szCs w:val="24"/>
        </w:rPr>
        <w:t xml:space="preserve">iz </w:t>
      </w:r>
      <w:r w:rsidR="004852AF">
        <w:rPr>
          <w:rFonts w:ascii="Times New Roman" w:hAnsi="Times New Roman" w:cs="Times New Roman"/>
          <w:sz w:val="24"/>
          <w:szCs w:val="24"/>
        </w:rPr>
        <w:t xml:space="preserve">sljedećih </w:t>
      </w:r>
      <w:r w:rsidRPr="00EE0B64">
        <w:rPr>
          <w:rFonts w:ascii="Times New Roman" w:hAnsi="Times New Roman" w:cs="Times New Roman"/>
          <w:sz w:val="24"/>
          <w:szCs w:val="24"/>
        </w:rPr>
        <w:t>izvora</w:t>
      </w:r>
      <w:r w:rsidR="004852AF">
        <w:rPr>
          <w:rFonts w:ascii="Times New Roman" w:hAnsi="Times New Roman" w:cs="Times New Roman"/>
          <w:sz w:val="24"/>
          <w:szCs w:val="24"/>
        </w:rPr>
        <w:t>: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6B200A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pći prihod</w:t>
      </w:r>
      <w:r w:rsidR="004852AF"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i primi</w:t>
      </w:r>
      <w:r w:rsidR="002B65A3">
        <w:rPr>
          <w:rFonts w:ascii="Times New Roman" w:hAnsi="Times New Roman" w:cs="Times New Roman"/>
          <w:sz w:val="24"/>
          <w:szCs w:val="24"/>
        </w:rPr>
        <w:t>ci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2B65A3">
        <w:rPr>
          <w:rFonts w:ascii="Times New Roman" w:hAnsi="Times New Roman" w:cs="Times New Roman"/>
          <w:sz w:val="24"/>
          <w:szCs w:val="24"/>
        </w:rPr>
        <w:t>3.572.000 kn</w:t>
      </w:r>
      <w:bookmarkEnd w:id="1"/>
      <w:r w:rsidR="004852AF">
        <w:rPr>
          <w:rFonts w:ascii="Times New Roman" w:hAnsi="Times New Roman" w:cs="Times New Roman"/>
          <w:sz w:val="24"/>
          <w:szCs w:val="24"/>
        </w:rPr>
        <w:t xml:space="preserve">; pomoći iz proračuna </w:t>
      </w:r>
      <w:r w:rsidR="002B65A3">
        <w:rPr>
          <w:rFonts w:ascii="Times New Roman" w:hAnsi="Times New Roman" w:cs="Times New Roman"/>
          <w:sz w:val="24"/>
          <w:szCs w:val="24"/>
        </w:rPr>
        <w:t>807.000 kn</w:t>
      </w:r>
      <w:r w:rsidR="004852AF">
        <w:rPr>
          <w:rFonts w:ascii="Times New Roman" w:hAnsi="Times New Roman" w:cs="Times New Roman"/>
          <w:sz w:val="24"/>
          <w:szCs w:val="24"/>
        </w:rPr>
        <w:t xml:space="preserve">; ostali prihodi za posebne namjene </w:t>
      </w:r>
      <w:r w:rsidR="002B65A3">
        <w:rPr>
          <w:rFonts w:ascii="Times New Roman" w:hAnsi="Times New Roman" w:cs="Times New Roman"/>
          <w:sz w:val="24"/>
          <w:szCs w:val="24"/>
        </w:rPr>
        <w:t>27.000 kn; naknade s naslova osiguranja 57.000 kn te vlastiti prihodi 164.000 kn</w:t>
      </w:r>
      <w:r w:rsidR="00826DC6">
        <w:rPr>
          <w:rFonts w:ascii="Times New Roman" w:hAnsi="Times New Roman" w:cs="Times New Roman"/>
          <w:sz w:val="24"/>
          <w:szCs w:val="24"/>
        </w:rPr>
        <w:t>.</w:t>
      </w:r>
    </w:p>
    <w:p w14:paraId="00DFC5A4" w14:textId="7E6D1F3D" w:rsidR="00466388" w:rsidRDefault="00466388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6388">
        <w:rPr>
          <w:rFonts w:ascii="Times New Roman" w:hAnsi="Times New Roman" w:cs="Times New Roman"/>
          <w:sz w:val="24"/>
          <w:szCs w:val="24"/>
          <w:u w:val="single"/>
        </w:rPr>
        <w:t>Račun financiranja</w:t>
      </w:r>
    </w:p>
    <w:p w14:paraId="3B545B60" w14:textId="10A4059A" w:rsidR="00466388" w:rsidRPr="00466388" w:rsidRDefault="00466388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plan za otplatu glavnice leasinga veći je za 2.000 kn od osnovnog plana te iznosi 21.000 kn.</w:t>
      </w:r>
    </w:p>
    <w:p w14:paraId="53C7517D" w14:textId="77777777" w:rsidR="00B1571A" w:rsidRPr="00B033D6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>Obrazloženje programa i aktivnosti</w:t>
      </w:r>
    </w:p>
    <w:p w14:paraId="208E1AC1" w14:textId="77777777" w:rsidR="00B1571A" w:rsidRPr="00EE0B64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kao dio kulturne infrastrukture Grada Šibenika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kroz planirane programe provodi aktivnosti koje su usmjerene na očuvanje, zaštitu, unaprjeđenje i prezentaciju kulturno-povijesne baštine te na podizanje svijesti o njihovoj važnosti i značenju za lokalnu zajednicu. Muzej unutar svoje zajednice ima važnu ulogu i utjecaj na popularizaciju različitih vrsta umjetnosti među građanima svih skupina. Muzej kao regionaln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baštinsk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razvoju suvremenog društva, ističući spoznaje o Šibeniku i šibenskom kraju na zanimljiv i atraktivan način privlačan lokalnom stanovništvu, ali i široj društvenoj zajednici. Misija Muzeja je sakupljanje, istraživanje, očuvanje, zaštita, prezentacija i interpretacija lokalnog identiteta, povijesti, kulture, umjetnosti i tradicijske baštine šibenskog područja na dobrobit šire javnosti, obrazovanja svih dobnih skupina društva i održivo korištenje kulturne baštine. Muzej posjeduje bogati muzejski fundus od</w:t>
      </w:r>
      <w:r>
        <w:rPr>
          <w:rFonts w:ascii="Times New Roman" w:hAnsi="Times New Roman" w:cs="Times New Roman"/>
          <w:sz w:val="24"/>
          <w:szCs w:val="24"/>
        </w:rPr>
        <w:t xml:space="preserve"> 130.965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predmeta (inventariziranih </w:t>
      </w:r>
      <w:r w:rsidRPr="0064677D">
        <w:rPr>
          <w:rFonts w:ascii="Times New Roman" w:hAnsi="Times New Roman" w:cs="Times New Roman"/>
          <w:sz w:val="24"/>
          <w:szCs w:val="24"/>
        </w:rPr>
        <w:t>72.126),</w:t>
      </w:r>
      <w:r w:rsidRPr="00EE0B64">
        <w:rPr>
          <w:rFonts w:ascii="Times New Roman" w:hAnsi="Times New Roman" w:cs="Times New Roman"/>
          <w:sz w:val="24"/>
          <w:szCs w:val="24"/>
        </w:rPr>
        <w:t xml:space="preserve"> sistematiziran 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zbirki, koje se čuvaju 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B64">
        <w:rPr>
          <w:rFonts w:ascii="Times New Roman" w:hAnsi="Times New Roman" w:cs="Times New Roman"/>
          <w:sz w:val="24"/>
          <w:szCs w:val="24"/>
        </w:rPr>
        <w:t xml:space="preserve"> zgrade u povijesnoj jezgri Šibenika. Dio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 xml:space="preserve">muzejskog fundusa prezentira se javnosti kroz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talni postav, različite povremene tematske izložbe i događanja. </w:t>
      </w:r>
    </w:p>
    <w:p w14:paraId="355FAC32" w14:textId="4998F156" w:rsidR="00133E61" w:rsidRDefault="00B1571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Planiran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program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Muzejske djelatnosti Muzeja čine Redovna djelatnost i Zaštita kulturno povijesne baštine</w:t>
      </w:r>
      <w:r w:rsidR="00562C2B">
        <w:rPr>
          <w:rFonts w:ascii="Times New Roman" w:hAnsi="Times New Roman" w:cs="Times New Roman"/>
          <w:sz w:val="24"/>
          <w:szCs w:val="24"/>
        </w:rPr>
        <w:t xml:space="preserve">, te aktivnosti i projekti u okviru programa Zaštita kulturno povijesne baštine:  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62C2B">
        <w:rPr>
          <w:rFonts w:ascii="Times New Roman" w:hAnsi="Times New Roman" w:cs="Times New Roman"/>
          <w:sz w:val="24"/>
          <w:szCs w:val="24"/>
        </w:rPr>
        <w:t xml:space="preserve">Zaštita kulturno povijesne baštine, Stalni postav Muzeja, Muzejsko-galerijska djelatnost, Arheološki lokaliteti te Muzejsko izdavaštvo. </w:t>
      </w:r>
      <w:r w:rsidRPr="00EE0B64">
        <w:rPr>
          <w:rFonts w:ascii="Times New Roman" w:hAnsi="Times New Roman" w:cs="Times New Roman"/>
          <w:sz w:val="24"/>
          <w:szCs w:val="24"/>
        </w:rPr>
        <w:t>Navedenim aktivnostima povećat će se mogućnost za ostvarenje dodatnih vlastitih prihoda koji direktno postaju nova vrijednost za muzejsku djelatnost, za djelatnike Muzeja, za Šibenčane i za grad.</w:t>
      </w:r>
    </w:p>
    <w:p w14:paraId="7C03154C" w14:textId="1D54F30E" w:rsidR="00FF5C02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8508A" w14:textId="5140E177" w:rsidR="00FF5C02" w:rsidRDefault="00FF5C02" w:rsidP="00FF5C02">
      <w:pPr>
        <w:spacing w:after="222"/>
        <w:rPr>
          <w:rFonts w:ascii="Times New Roman" w:hAnsi="Times New Roman" w:cs="Times New Roman"/>
          <w:sz w:val="24"/>
          <w:szCs w:val="24"/>
          <w:u w:val="single"/>
        </w:rPr>
      </w:pPr>
      <w:r w:rsidRPr="00D03A25">
        <w:rPr>
          <w:rFonts w:ascii="Times New Roman" w:hAnsi="Times New Roman" w:cs="Times New Roman"/>
          <w:sz w:val="24"/>
          <w:szCs w:val="24"/>
          <w:u w:val="single"/>
        </w:rPr>
        <w:t xml:space="preserve">Obrazloženje </w:t>
      </w:r>
      <w:r w:rsidR="00D03A25" w:rsidRPr="00D03A25">
        <w:rPr>
          <w:rFonts w:ascii="Times New Roman" w:hAnsi="Times New Roman" w:cs="Times New Roman"/>
          <w:sz w:val="24"/>
          <w:szCs w:val="24"/>
          <w:u w:val="single"/>
        </w:rPr>
        <w:t>posebnog dijela financijskog plana Muzeja</w:t>
      </w:r>
    </w:p>
    <w:tbl>
      <w:tblPr>
        <w:tblStyle w:val="TableGrid"/>
        <w:tblW w:w="9429" w:type="dxa"/>
        <w:tblInd w:w="-2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6791"/>
      </w:tblGrid>
      <w:tr w:rsidR="00466388" w14:paraId="7BCF7F6A" w14:textId="77777777" w:rsidTr="00BF28DC">
        <w:trPr>
          <w:trHeight w:val="198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FDD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Glava: 00304-33771 MUZEJ GRADA ŠIBENIKA</w:t>
            </w:r>
          </w:p>
          <w:p w14:paraId="5A5EA43C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66388" w14:paraId="6944B0F7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FBBE" w14:textId="6181E089" w:rsidR="00466388" w:rsidRPr="00D13696" w:rsidRDefault="007C20C6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Osnovni plan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9A23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4.644.000,00 kn</w:t>
            </w:r>
          </w:p>
          <w:p w14:paraId="0F63230F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</w:p>
        </w:tc>
      </w:tr>
      <w:tr w:rsidR="00466388" w14:paraId="1357BEEA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F078E0" w14:textId="037F373D" w:rsidR="00466388" w:rsidRPr="00D13696" w:rsidRDefault="007C20C6" w:rsidP="00BF28DC">
            <w:pPr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II. Izmjene i dopune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59E2A0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4.648.000,00 kn</w:t>
            </w:r>
          </w:p>
        </w:tc>
      </w:tr>
      <w:tr w:rsidR="00466388" w14:paraId="5EF9F96C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EA2B21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8532C8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152001 MUZEJSKA DJELATNOST</w:t>
            </w:r>
          </w:p>
        </w:tc>
      </w:tr>
      <w:tr w:rsidR="00466388" w14:paraId="07C689C5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8B1D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9A13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 Službe kulture</w:t>
            </w:r>
          </w:p>
        </w:tc>
      </w:tr>
      <w:tr w:rsidR="00466388" w14:paraId="726388B2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0D40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436B" w14:textId="77777777" w:rsidR="00466388" w:rsidRDefault="00466388" w:rsidP="00BF28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Zakon o muzejima (Nar. nov., 61/18. i 98/19.)</w:t>
            </w:r>
          </w:p>
          <w:p w14:paraId="3B0C1A51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ustanovama (Nar. nov., 76/93., 29/97., 47/99., 35/08. i 127/19.)</w:t>
            </w:r>
          </w:p>
          <w:p w14:paraId="5A5A62FA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Zakon o proračunu (Nar. nov., 144/21.)          </w:t>
            </w:r>
          </w:p>
          <w:p w14:paraId="5893EA95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upravljanju javnim ustanovama u kulturi (Nar. nov., 96/01. i 98/19.)</w:t>
            </w:r>
          </w:p>
          <w:p w14:paraId="3D9B4732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financiranju javnih potreba u kulturi (Nar. nov., br. 47/90., 27/93. i 38/09.)</w:t>
            </w:r>
          </w:p>
          <w:p w14:paraId="090726AE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radu (Nar. nov., br. 93/14., 127/17. i 98/19.)</w:t>
            </w:r>
          </w:p>
        </w:tc>
      </w:tr>
      <w:tr w:rsidR="00466388" w14:paraId="1BAC426A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0A4D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0CB5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A101701 Redovna djelatnost Muzeja</w:t>
            </w:r>
          </w:p>
        </w:tc>
      </w:tr>
      <w:tr w:rsidR="00466388" w14:paraId="636173A9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9B00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1535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Zadobivanje veće pažnje sadašnje i buduće publike Muzeja organiziranjem povremenih izložbi, umjetničkih i kulturnih događanja, osiguravanjem dostupnosti zbirki u obrazovne, stručne i znanstvene svrhe, osiguravanjem prihvatljivog okruženja za javnost.</w:t>
            </w:r>
          </w:p>
        </w:tc>
      </w:tr>
      <w:tr w:rsidR="00466388" w14:paraId="686ABC8C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F955" w14:textId="4E9BC679" w:rsidR="00466388" w:rsidRPr="00D13696" w:rsidRDefault="007C20C6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Osnovni plan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EAAC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3.396.000,00 Kn</w:t>
            </w:r>
          </w:p>
        </w:tc>
      </w:tr>
      <w:tr w:rsidR="00466388" w14:paraId="419E0869" w14:textId="77777777" w:rsidTr="00D13696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C9C" w14:textId="1E737B93" w:rsidR="00466388" w:rsidRPr="00D13696" w:rsidRDefault="00D13696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II. Izmjene i dopune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A919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3.275.000,00 kn</w:t>
            </w:r>
          </w:p>
        </w:tc>
      </w:tr>
      <w:tr w:rsidR="00466388" w14:paraId="3D85A9EB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864C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0FDD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Povećanje broja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inventiranih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muzejskih predmeta. Muzejski predmeti upisom u inventarnu knjigu Muzeja stječu status kulturnog dobra, a inventarna knjiga Muzeja sastavni je dio Registra kulturnih dobara Republike Hrvatske. Ciljana vrijednost: 3736.</w:t>
            </w:r>
          </w:p>
          <w:p w14:paraId="33E36D99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Stručno usavršavanje na seminarima, savjetovanjima i simpozijima.</w:t>
            </w:r>
          </w:p>
          <w:p w14:paraId="36F05808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Poticanje djelatnika na edukaciju i stručno usavršavanje. </w:t>
            </w:r>
          </w:p>
          <w:p w14:paraId="3D6DEF64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Broj stručnih usavršavanja: ciljana vrijednost 7.</w:t>
            </w:r>
          </w:p>
        </w:tc>
      </w:tr>
      <w:tr w:rsidR="00466388" w14:paraId="26AC217F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6700" w14:textId="77777777" w:rsidR="00466388" w:rsidRPr="003002B3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002B3">
              <w:rPr>
                <w:rFonts w:ascii="Times New Roman" w:hAnsi="Times New Roman"/>
                <w:b/>
                <w:bCs/>
              </w:rPr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418B" w14:textId="74427885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Planirani rashodi u navedenom programu i aktivnosti odnose se najvećim dijelom na osiguranje sredstava za rashode za zaposlene za 21 djelatnika (početni plan se odnosio na 22 djelatnika koji je u tijeku godine smanjen na 21, zbog otkaza kustosa povjesničara); za kontinuirane materijalne rashode kao što su: rashodi za materijal i energiju, rashodi za usluge, ostali nespomenuti rashodi poslovanja, financijski rashodi te izdatke za otplatu anuiteta po leasingu za kupnju službenog vozila.</w:t>
            </w:r>
          </w:p>
          <w:p w14:paraId="095F4379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Planirani rashodi za zaposlene su niži za 96.000,00 kn u odnosu na početni plan zbog smanjenog broja djelatnika s 22 na 21. Smanjeni su i materijalni rashodi za 43.000,00 kn najvećim dijelom zbog niže naknade za prijevoz na posao i s posla te za intelektualne usluge. Svi planirani rashodi i izdaci odnose se na redovno funkcioniranje Muzeja kao javne ustanove u kulturi te kao proračunskog korisnika koji se u cijelosti financira iz nadležnog proračuna.</w:t>
            </w:r>
          </w:p>
        </w:tc>
      </w:tr>
      <w:tr w:rsidR="00466388" w14:paraId="0C38142B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DC2E1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79FEFD" w14:textId="77777777" w:rsidR="00466388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1018 ZAŠTITA KULTURNO POVIJESNE BAŠTINE</w:t>
            </w:r>
          </w:p>
        </w:tc>
      </w:tr>
      <w:tr w:rsidR="00466388" w14:paraId="2E92F889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6A72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736D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 Službe kulture</w:t>
            </w:r>
          </w:p>
        </w:tc>
      </w:tr>
      <w:tr w:rsidR="00466388" w14:paraId="1F7F6334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574BD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4FC1" w14:textId="77777777" w:rsidR="00466388" w:rsidRDefault="00466388" w:rsidP="00BF28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Zakon o muzejima (Nar. nov., 61/18. i 98/19.)</w:t>
            </w:r>
          </w:p>
          <w:p w14:paraId="4A3C5177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ustanovama (Nar. nov., 76/93., 29/97., 47/99., 35/08. i 127/19.)</w:t>
            </w:r>
          </w:p>
          <w:p w14:paraId="070E1E79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Zakon o proračunu (Nar. nov., 144/21.)          </w:t>
            </w:r>
          </w:p>
          <w:p w14:paraId="43B3AC13" w14:textId="77777777" w:rsidR="00466388" w:rsidRDefault="00466388" w:rsidP="00BF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upravljanju javnim ustanovama u kulturi (Nar. nov., 96/01. i 98/19.)</w:t>
            </w:r>
          </w:p>
          <w:p w14:paraId="5EDD1D82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Zakon o financiranju javnih potreba u kulturi (Nar. nov., br. 47/90., 27/93. i 38/09.)</w:t>
            </w:r>
          </w:p>
          <w:p w14:paraId="63C1DE70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Zakon o zaštiti i očuvanju kulturnih dobara (Nar. nov., 62/20. i 117/21.)</w:t>
            </w:r>
          </w:p>
        </w:tc>
      </w:tr>
      <w:tr w:rsidR="00466388" w14:paraId="01B0197A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86AC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6AF3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A15200201 Zaštita kulturno povijesne baštine - </w:t>
            </w:r>
            <w:r>
              <w:rPr>
                <w:rFonts w:ascii="Times New Roman" w:hAnsi="Times New Roman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suradnja, sakupljane muzejske građe i njena obrada te izrada muzejskih suvenira.</w:t>
            </w:r>
          </w:p>
          <w:p w14:paraId="15B7A680" w14:textId="77777777" w:rsidR="00466388" w:rsidRDefault="00466388" w:rsidP="00BF2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K15200202 Stalni postav Muzeja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      </w:r>
          </w:p>
          <w:p w14:paraId="417B3525" w14:textId="77777777" w:rsidR="00466388" w:rsidRDefault="00466388" w:rsidP="00BF28D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A15200215 Muzejsko-galerijska djelatnost - </w:t>
            </w:r>
            <w:r>
              <w:rPr>
                <w:rFonts w:ascii="Times New Roman" w:hAnsi="Times New Roman"/>
                <w:sz w:val="24"/>
                <w:szCs w:val="24"/>
              </w:rPr>
              <w:t>Populariziranje Muzeja osmišljavanjem atraktivnih interdisciplinarnih izložbi kao i edukacijom mladih putem radionica i igraonica te povećavanje interesa lokalne zajednice za šibensku baštinu.</w:t>
            </w:r>
          </w:p>
          <w:p w14:paraId="2EB2B292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A15200216 Arheološki lokaliteti - </w:t>
            </w:r>
            <w:r>
              <w:rPr>
                <w:rFonts w:ascii="Times New Roman" w:hAnsi="Times New Roman"/>
                <w:sz w:val="24"/>
                <w:szCs w:val="24"/>
              </w:rPr>
              <w:t>Kontinuirana terenska aktivnost i suradnja s drugim ustanovama u usavršavanju stručnjaka.</w:t>
            </w:r>
          </w:p>
          <w:p w14:paraId="1879549F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A15200217 Muzejsko izdavaštvo - </w:t>
            </w:r>
            <w:r>
              <w:rPr>
                <w:rFonts w:ascii="Times New Roman" w:hAnsi="Times New Roman"/>
                <w:sz w:val="24"/>
                <w:szCs w:val="24"/>
              </w:rPr>
              <w:t>Vlastitim izdanjima popularizirati i promicati muzejsku djelatnost.</w:t>
            </w:r>
          </w:p>
        </w:tc>
      </w:tr>
      <w:tr w:rsidR="00466388" w14:paraId="794FB951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1C42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0000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 Muzejska građa i muzejska dokumentacija štite se kao kulturno dobro.</w:t>
            </w:r>
          </w:p>
        </w:tc>
      </w:tr>
      <w:tr w:rsidR="00466388" w14:paraId="1FC17CCE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56E9" w14:textId="7D7A94EB" w:rsidR="00466388" w:rsidRPr="007C20C6" w:rsidRDefault="007C20C6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>Osnovni plan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CD22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1.248.000,00 kn</w:t>
            </w:r>
          </w:p>
        </w:tc>
      </w:tr>
      <w:tr w:rsidR="00466388" w14:paraId="77F4D079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6AAB" w14:textId="3EDC98A4" w:rsidR="00466388" w:rsidRPr="007C20C6" w:rsidRDefault="007C20C6" w:rsidP="00BF28DC">
            <w:pPr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II. Izmjene i dopune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DEBE" w14:textId="77777777" w:rsidR="00466388" w:rsidRDefault="00466388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1.373.000,00 kn</w:t>
            </w:r>
          </w:p>
        </w:tc>
      </w:tr>
      <w:tr w:rsidR="00466388" w14:paraId="55DD56D9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EBC0B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lastRenderedPageBreak/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09CA2" w14:textId="71FE47C3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Sudjelovanje na stručnim i znanstvenim kongresima i savjetovanjima. Sudjelovanjem na stručnim i znanstvenim kongresima i savjetovanjima prezentira se i promovira kulturno-povijesna baština šibenskog kraja.</w:t>
            </w:r>
            <w:r w:rsidR="00C84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Ciljana vrijednost: 5.</w:t>
            </w:r>
          </w:p>
          <w:p w14:paraId="3C75B3E4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otkupa muzejske građe. Otkupom muzejskih predmeta želi se povećati muzejski fundus. Ciljana vrijednost: 23.</w:t>
            </w:r>
          </w:p>
          <w:p w14:paraId="0A82FEC8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Povećanje broja konzervacije i restauracije na muzejskim predmetima. Konzervacijom i restauracijom želi se stanje muzejskih predmeta staviti u funkciju. Ciljana vrijednost: 56. </w:t>
            </w:r>
          </w:p>
          <w:p w14:paraId="5E750709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Dovršetak projekta stalnog muzejskog postava na III. katu Kneževe palače, a odnosi se na vremensko razdoblje novije povijesti. Povećanje broja posjetitelja kroz kompletiranu prezentaciju povijesti grada Šibenika.</w:t>
            </w:r>
          </w:p>
          <w:p w14:paraId="4A9BCFF1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izložbi. Prezentacija i popularizacija kulturne baštine domicilnom stanovništvu i drugim posjetiteljima.</w:t>
            </w:r>
          </w:p>
          <w:p w14:paraId="56852B10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Ciljana vrijednost: 6.</w:t>
            </w:r>
          </w:p>
          <w:p w14:paraId="4DD1EED6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gostovanja izložbi MGŠ-a u drugim muzejima. Prezentacija i popularizacija kulturne baštine šibenskog kraja. Ciljana vrijednost: 5.</w:t>
            </w:r>
          </w:p>
          <w:p w14:paraId="09C46269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manifestacija. Manifestacijama se potiče javnost za sudjelovanjem na manifestacijama vezanim za promociju muzejske djelatnosti. Ciljana vrijednost: 4.</w:t>
            </w:r>
          </w:p>
          <w:p w14:paraId="4E000161" w14:textId="5B3D8910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edukativne djelatnosti - vodstva i predavanja za građanstvo. Približavanje kulturne baštine i educiranje o kulturnoj baštini.</w:t>
            </w:r>
            <w:r w:rsidR="00B23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Ciljana vrijednost: 26.</w:t>
            </w:r>
          </w:p>
          <w:p w14:paraId="7141B8A8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Povećanje broja radionica i igraonica za djecu. Približavanje kulturne baštine i educiranje o kulturnoj baštini djece vrtićke i školske dobi. Ciljana vrijednost: 11.</w:t>
            </w:r>
          </w:p>
          <w:p w14:paraId="0155FDBF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Terensko istraživanje. Sustavno arheološko istraživanje lokaliteta. </w:t>
            </w:r>
          </w:p>
          <w:p w14:paraId="5AF42D7A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Ciljana vrijednost: 8.</w:t>
            </w:r>
          </w:p>
          <w:p w14:paraId="648177C9" w14:textId="77777777" w:rsidR="00466388" w:rsidRDefault="00466388" w:rsidP="00BF28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Vlastita izdanja. Valoriziranje i promicanje kulturne baštine i suvremenog stvaralaštva. Ciljana vrijednost: 4.</w:t>
            </w:r>
          </w:p>
        </w:tc>
      </w:tr>
      <w:tr w:rsidR="00466388" w14:paraId="7B4E94FB" w14:textId="77777777" w:rsidTr="00BF28DC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B433" w14:textId="77777777" w:rsidR="00466388" w:rsidRPr="007C20C6" w:rsidRDefault="00466388" w:rsidP="00BF28D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C20C6">
              <w:rPr>
                <w:rFonts w:ascii="Times New Roman" w:hAnsi="Times New Roman"/>
                <w:b/>
                <w:bCs/>
              </w:rPr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DB8C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 te sakupljane muzejske građe i njena obrada.</w:t>
            </w:r>
          </w:p>
          <w:p w14:paraId="668D6D96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Planiranim sredstvima omogućit će 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organiziranje i izvršenje planiranih poslova muzejske djelatnosti.</w:t>
            </w:r>
          </w:p>
          <w:p w14:paraId="3925913E" w14:textId="77777777" w:rsidR="00466388" w:rsidRDefault="00466388" w:rsidP="00BF28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Financiranje ovog programa osigurano je iz općih prihoda i primitaka, iz prihoda od pomoći, ostalih prihoda za posebne namjene, naknada s naslova osiguranja te vlastitih prihoda.</w:t>
            </w:r>
          </w:p>
          <w:p w14:paraId="5AB20AA0" w14:textId="7B36084B" w:rsidR="008D7B67" w:rsidRDefault="008D7B67" w:rsidP="00BF28D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Planirana sredstva za navedeni program veća su odnosu na osnovni plan za 132.000 kn, najvećim dijelom za tekuće investicijsko održavanje te za tisak </w:t>
            </w:r>
            <w:r w:rsidR="00D0150B">
              <w:rPr>
                <w:rFonts w:ascii="Times New Roman" w:hAnsi="Times New Roman"/>
              </w:rPr>
              <w:t>kataloga Kartografske zbirke Muzeja grada Šibenika.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261E0B04" w14:textId="699959CA" w:rsidR="00D0150B" w:rsidRDefault="00D0150B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68335" w14:textId="77777777" w:rsidR="00D0150B" w:rsidRPr="00EE0B64" w:rsidRDefault="00D0150B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BB1E" w14:textId="46DDC0FC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U Šibeniku, </w:t>
      </w:r>
      <w:r w:rsidR="00D0150B">
        <w:rPr>
          <w:rFonts w:ascii="Times New Roman" w:hAnsi="Times New Roman" w:cs="Times New Roman"/>
          <w:sz w:val="24"/>
          <w:szCs w:val="24"/>
        </w:rPr>
        <w:t>21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  <w:r w:rsidR="00697FE6">
        <w:rPr>
          <w:rFonts w:ascii="Times New Roman" w:hAnsi="Times New Roman" w:cs="Times New Roman"/>
          <w:sz w:val="24"/>
          <w:szCs w:val="24"/>
        </w:rPr>
        <w:t>1</w:t>
      </w:r>
      <w:r w:rsidR="00D0150B">
        <w:rPr>
          <w:rFonts w:ascii="Times New Roman" w:hAnsi="Times New Roman" w:cs="Times New Roman"/>
          <w:sz w:val="24"/>
          <w:szCs w:val="24"/>
        </w:rPr>
        <w:t>1</w:t>
      </w:r>
      <w:r w:rsidRPr="00EE0B64">
        <w:rPr>
          <w:rFonts w:ascii="Times New Roman" w:hAnsi="Times New Roman" w:cs="Times New Roman"/>
          <w:sz w:val="24"/>
          <w:szCs w:val="24"/>
        </w:rPr>
        <w:t>.202</w:t>
      </w:r>
      <w:r w:rsidR="00BC1CC6">
        <w:rPr>
          <w:rFonts w:ascii="Times New Roman" w:hAnsi="Times New Roman" w:cs="Times New Roman"/>
          <w:sz w:val="24"/>
          <w:szCs w:val="24"/>
        </w:rPr>
        <w:t>2</w:t>
      </w:r>
      <w:r w:rsidRPr="00EE0B64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2E1C671" w14:textId="5A4EE79B" w:rsidR="00953526" w:rsidRPr="00517253" w:rsidRDefault="00953526" w:rsidP="00CE1E6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E0B6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</w:t>
      </w:r>
    </w:p>
    <w:tbl>
      <w:tblPr>
        <w:tblW w:w="2600" w:type="dxa"/>
        <w:tblInd w:w="108" w:type="dxa"/>
        <w:tblLook w:val="04A0" w:firstRow="1" w:lastRow="0" w:firstColumn="1" w:lastColumn="0" w:noHBand="0" w:noVBand="1"/>
      </w:tblPr>
      <w:tblGrid>
        <w:gridCol w:w="2600"/>
      </w:tblGrid>
      <w:tr w:rsidR="00CE1E63" w:rsidRPr="00AC7539" w14:paraId="33ACADB1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E8D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Zakonski predstavnik:</w:t>
            </w:r>
          </w:p>
        </w:tc>
      </w:tr>
      <w:tr w:rsidR="00CE1E63" w:rsidRPr="00AC7539" w14:paraId="6FB3C55B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A4F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mr. sc. Željko </w:t>
            </w:r>
            <w:proofErr w:type="spellStart"/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Krnčević</w:t>
            </w:r>
            <w:proofErr w:type="spellEnd"/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2547714" w14:textId="35D19262" w:rsidR="00B57458" w:rsidRDefault="00B57458" w:rsidP="00517253"/>
    <w:sectPr w:rsidR="00B57458" w:rsidSect="0095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B423" w14:textId="77777777" w:rsidR="00855E4D" w:rsidRDefault="00855E4D" w:rsidP="00953526">
      <w:pPr>
        <w:spacing w:after="0" w:line="240" w:lineRule="auto"/>
      </w:pPr>
      <w:r>
        <w:separator/>
      </w:r>
    </w:p>
  </w:endnote>
  <w:endnote w:type="continuationSeparator" w:id="0">
    <w:p w14:paraId="670D3E25" w14:textId="77777777" w:rsidR="00855E4D" w:rsidRDefault="00855E4D" w:rsidP="009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C7CE" w14:textId="77777777" w:rsidR="00F86FA0" w:rsidRDefault="00F86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093690"/>
      <w:docPartObj>
        <w:docPartGallery w:val="Page Numbers (Bottom of Page)"/>
        <w:docPartUnique/>
      </w:docPartObj>
    </w:sdtPr>
    <w:sdtContent>
      <w:p w14:paraId="09F61F6B" w14:textId="66659FF9" w:rsidR="00F86FA0" w:rsidRDefault="00F86F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1BEB4" w14:textId="77777777" w:rsidR="00F86FA0" w:rsidRDefault="00F86F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79002"/>
      <w:docPartObj>
        <w:docPartGallery w:val="Page Numbers (Bottom of Page)"/>
        <w:docPartUnique/>
      </w:docPartObj>
    </w:sdtPr>
    <w:sdtContent>
      <w:p w14:paraId="110AF723" w14:textId="4CC69C33" w:rsidR="009053FF" w:rsidRDefault="009053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AE4DE" w14:textId="77777777" w:rsidR="009053FF" w:rsidRDefault="00905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778F" w14:textId="77777777" w:rsidR="00855E4D" w:rsidRDefault="00855E4D" w:rsidP="00953526">
      <w:pPr>
        <w:spacing w:after="0" w:line="240" w:lineRule="auto"/>
      </w:pPr>
      <w:r>
        <w:separator/>
      </w:r>
    </w:p>
  </w:footnote>
  <w:footnote w:type="continuationSeparator" w:id="0">
    <w:p w14:paraId="16F15DA9" w14:textId="77777777" w:rsidR="00855E4D" w:rsidRDefault="00855E4D" w:rsidP="0095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763E" w14:textId="77777777" w:rsidR="00F86FA0" w:rsidRDefault="00F86F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D4A" w14:textId="77777777" w:rsidR="00F86FA0" w:rsidRDefault="00F86F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B92" w14:textId="0EB8BCB1" w:rsidR="00953526" w:rsidRDefault="00953526">
    <w:pPr>
      <w:pStyle w:val="Zaglavlje"/>
    </w:pPr>
    <w:r w:rsidRPr="002B68C9">
      <w:rPr>
        <w:noProof/>
      </w:rPr>
      <w:drawing>
        <wp:inline distT="0" distB="0" distL="0" distR="0" wp14:anchorId="76C4E197" wp14:editId="7A0F5404">
          <wp:extent cx="1697716" cy="1003698"/>
          <wp:effectExtent l="19050" t="0" r="0" b="0"/>
          <wp:docPr id="1" name="Slika 1" descr="mgš_memorandum_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0E7"/>
    <w:multiLevelType w:val="hybridMultilevel"/>
    <w:tmpl w:val="50D2D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06E98"/>
    <w:multiLevelType w:val="hybridMultilevel"/>
    <w:tmpl w:val="1E642D60"/>
    <w:lvl w:ilvl="0" w:tplc="4A20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15CC"/>
    <w:multiLevelType w:val="hybridMultilevel"/>
    <w:tmpl w:val="BF8CF70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5509"/>
    <w:multiLevelType w:val="hybridMultilevel"/>
    <w:tmpl w:val="A6D856C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63C73"/>
    <w:multiLevelType w:val="hybridMultilevel"/>
    <w:tmpl w:val="73CA7BDE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5BEA"/>
    <w:multiLevelType w:val="hybridMultilevel"/>
    <w:tmpl w:val="634E3934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0045"/>
    <w:multiLevelType w:val="hybridMultilevel"/>
    <w:tmpl w:val="E3AA924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D47CA"/>
    <w:multiLevelType w:val="hybridMultilevel"/>
    <w:tmpl w:val="E1C2896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722"/>
    <w:multiLevelType w:val="hybridMultilevel"/>
    <w:tmpl w:val="A65A6226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1F46"/>
    <w:multiLevelType w:val="hybridMultilevel"/>
    <w:tmpl w:val="1ED4F01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24F"/>
    <w:multiLevelType w:val="hybridMultilevel"/>
    <w:tmpl w:val="31166344"/>
    <w:lvl w:ilvl="0" w:tplc="85AA2E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85525"/>
    <w:multiLevelType w:val="hybridMultilevel"/>
    <w:tmpl w:val="D312E600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F271F"/>
    <w:multiLevelType w:val="hybridMultilevel"/>
    <w:tmpl w:val="92EC086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ECF"/>
    <w:multiLevelType w:val="hybridMultilevel"/>
    <w:tmpl w:val="AE629B9C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3E452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66498"/>
    <w:multiLevelType w:val="hybridMultilevel"/>
    <w:tmpl w:val="F4B6931A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852">
    <w:abstractNumId w:val="14"/>
  </w:num>
  <w:num w:numId="2" w16cid:durableId="1775322148">
    <w:abstractNumId w:val="7"/>
  </w:num>
  <w:num w:numId="3" w16cid:durableId="1772895999">
    <w:abstractNumId w:val="13"/>
  </w:num>
  <w:num w:numId="4" w16cid:durableId="2101638015">
    <w:abstractNumId w:val="4"/>
  </w:num>
  <w:num w:numId="5" w16cid:durableId="657270826">
    <w:abstractNumId w:val="5"/>
  </w:num>
  <w:num w:numId="6" w16cid:durableId="50155766">
    <w:abstractNumId w:val="1"/>
  </w:num>
  <w:num w:numId="7" w16cid:durableId="790368158">
    <w:abstractNumId w:val="6"/>
  </w:num>
  <w:num w:numId="8" w16cid:durableId="954751219">
    <w:abstractNumId w:val="2"/>
  </w:num>
  <w:num w:numId="9" w16cid:durableId="1550143684">
    <w:abstractNumId w:val="8"/>
  </w:num>
  <w:num w:numId="10" w16cid:durableId="1677073517">
    <w:abstractNumId w:val="3"/>
  </w:num>
  <w:num w:numId="11" w16cid:durableId="1377701112">
    <w:abstractNumId w:val="11"/>
  </w:num>
  <w:num w:numId="12" w16cid:durableId="606818614">
    <w:abstractNumId w:val="12"/>
  </w:num>
  <w:num w:numId="13" w16cid:durableId="550269540">
    <w:abstractNumId w:val="9"/>
  </w:num>
  <w:num w:numId="14" w16cid:durableId="711614992">
    <w:abstractNumId w:val="10"/>
  </w:num>
  <w:num w:numId="15" w16cid:durableId="19976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9"/>
    <w:rsid w:val="00015683"/>
    <w:rsid w:val="00071A4A"/>
    <w:rsid w:val="0008503D"/>
    <w:rsid w:val="000A1D70"/>
    <w:rsid w:val="000D4285"/>
    <w:rsid w:val="00105054"/>
    <w:rsid w:val="00110025"/>
    <w:rsid w:val="00133E61"/>
    <w:rsid w:val="001448C0"/>
    <w:rsid w:val="00146805"/>
    <w:rsid w:val="001879B1"/>
    <w:rsid w:val="00192A34"/>
    <w:rsid w:val="00196541"/>
    <w:rsid w:val="001B123B"/>
    <w:rsid w:val="001B2BE6"/>
    <w:rsid w:val="001B430C"/>
    <w:rsid w:val="001C20CF"/>
    <w:rsid w:val="00201001"/>
    <w:rsid w:val="00203EE7"/>
    <w:rsid w:val="0023516D"/>
    <w:rsid w:val="00266771"/>
    <w:rsid w:val="00274E7E"/>
    <w:rsid w:val="002766F0"/>
    <w:rsid w:val="00291E61"/>
    <w:rsid w:val="00293867"/>
    <w:rsid w:val="002B65A3"/>
    <w:rsid w:val="002B68C9"/>
    <w:rsid w:val="002C2528"/>
    <w:rsid w:val="002C3FFF"/>
    <w:rsid w:val="003002B3"/>
    <w:rsid w:val="0034394D"/>
    <w:rsid w:val="003559DD"/>
    <w:rsid w:val="00387832"/>
    <w:rsid w:val="00391AD2"/>
    <w:rsid w:val="003951DE"/>
    <w:rsid w:val="003A02D2"/>
    <w:rsid w:val="003B5ADD"/>
    <w:rsid w:val="003B780A"/>
    <w:rsid w:val="003E009B"/>
    <w:rsid w:val="003E1237"/>
    <w:rsid w:val="00411F17"/>
    <w:rsid w:val="00412A36"/>
    <w:rsid w:val="00442642"/>
    <w:rsid w:val="00442813"/>
    <w:rsid w:val="00466388"/>
    <w:rsid w:val="00476E0D"/>
    <w:rsid w:val="004852AF"/>
    <w:rsid w:val="00493170"/>
    <w:rsid w:val="00493FA4"/>
    <w:rsid w:val="004B705A"/>
    <w:rsid w:val="004C2E73"/>
    <w:rsid w:val="004C58CC"/>
    <w:rsid w:val="00506603"/>
    <w:rsid w:val="00517253"/>
    <w:rsid w:val="0053728E"/>
    <w:rsid w:val="00550DF3"/>
    <w:rsid w:val="005524EA"/>
    <w:rsid w:val="00553F33"/>
    <w:rsid w:val="00562C2B"/>
    <w:rsid w:val="00570C09"/>
    <w:rsid w:val="00576D50"/>
    <w:rsid w:val="005A4627"/>
    <w:rsid w:val="005B723F"/>
    <w:rsid w:val="005C440A"/>
    <w:rsid w:val="005E1E34"/>
    <w:rsid w:val="005E5679"/>
    <w:rsid w:val="006330BA"/>
    <w:rsid w:val="00636C43"/>
    <w:rsid w:val="0064677D"/>
    <w:rsid w:val="00646B3D"/>
    <w:rsid w:val="0065305B"/>
    <w:rsid w:val="00656366"/>
    <w:rsid w:val="00662DA3"/>
    <w:rsid w:val="006735C4"/>
    <w:rsid w:val="0068484D"/>
    <w:rsid w:val="00697369"/>
    <w:rsid w:val="00697FE6"/>
    <w:rsid w:val="006A2EFF"/>
    <w:rsid w:val="006B200A"/>
    <w:rsid w:val="006C2EC9"/>
    <w:rsid w:val="006D0679"/>
    <w:rsid w:val="006E4CA3"/>
    <w:rsid w:val="00735EDB"/>
    <w:rsid w:val="00763F7C"/>
    <w:rsid w:val="00766268"/>
    <w:rsid w:val="00793AEB"/>
    <w:rsid w:val="007B0BF8"/>
    <w:rsid w:val="007B5EAB"/>
    <w:rsid w:val="007C20C6"/>
    <w:rsid w:val="007E519F"/>
    <w:rsid w:val="007E58E2"/>
    <w:rsid w:val="007F166F"/>
    <w:rsid w:val="0080087C"/>
    <w:rsid w:val="0082050D"/>
    <w:rsid w:val="00826DC6"/>
    <w:rsid w:val="00837ADC"/>
    <w:rsid w:val="0085480F"/>
    <w:rsid w:val="00855E4D"/>
    <w:rsid w:val="0085618E"/>
    <w:rsid w:val="00863843"/>
    <w:rsid w:val="00874AF3"/>
    <w:rsid w:val="0088576E"/>
    <w:rsid w:val="00886186"/>
    <w:rsid w:val="008946C2"/>
    <w:rsid w:val="008B36F5"/>
    <w:rsid w:val="008C5B7D"/>
    <w:rsid w:val="008D2F35"/>
    <w:rsid w:val="008D7B67"/>
    <w:rsid w:val="008E009E"/>
    <w:rsid w:val="009053FF"/>
    <w:rsid w:val="0090705B"/>
    <w:rsid w:val="0092532B"/>
    <w:rsid w:val="00931251"/>
    <w:rsid w:val="00953526"/>
    <w:rsid w:val="00954E46"/>
    <w:rsid w:val="009710B0"/>
    <w:rsid w:val="00973998"/>
    <w:rsid w:val="009B0E8E"/>
    <w:rsid w:val="009B214C"/>
    <w:rsid w:val="009B7804"/>
    <w:rsid w:val="009D2344"/>
    <w:rsid w:val="009D7881"/>
    <w:rsid w:val="009E262E"/>
    <w:rsid w:val="009E4447"/>
    <w:rsid w:val="009E569C"/>
    <w:rsid w:val="00A22C8A"/>
    <w:rsid w:val="00A34FEE"/>
    <w:rsid w:val="00A40FA9"/>
    <w:rsid w:val="00A47ADE"/>
    <w:rsid w:val="00A53B14"/>
    <w:rsid w:val="00A64372"/>
    <w:rsid w:val="00A65B6F"/>
    <w:rsid w:val="00A93BF2"/>
    <w:rsid w:val="00AB6B4C"/>
    <w:rsid w:val="00AC0B77"/>
    <w:rsid w:val="00AC2449"/>
    <w:rsid w:val="00AC71B2"/>
    <w:rsid w:val="00AD5404"/>
    <w:rsid w:val="00AF1670"/>
    <w:rsid w:val="00B033D6"/>
    <w:rsid w:val="00B14751"/>
    <w:rsid w:val="00B1571A"/>
    <w:rsid w:val="00B23BFB"/>
    <w:rsid w:val="00B25F73"/>
    <w:rsid w:val="00B33A54"/>
    <w:rsid w:val="00B57458"/>
    <w:rsid w:val="00B62B63"/>
    <w:rsid w:val="00B62EB1"/>
    <w:rsid w:val="00BB65F1"/>
    <w:rsid w:val="00BC0672"/>
    <w:rsid w:val="00BC1CC6"/>
    <w:rsid w:val="00BC268F"/>
    <w:rsid w:val="00BD0DC3"/>
    <w:rsid w:val="00BE32D4"/>
    <w:rsid w:val="00BE4336"/>
    <w:rsid w:val="00BF1599"/>
    <w:rsid w:val="00BF58E5"/>
    <w:rsid w:val="00C07C42"/>
    <w:rsid w:val="00C56FE6"/>
    <w:rsid w:val="00C57640"/>
    <w:rsid w:val="00C82CB5"/>
    <w:rsid w:val="00C84ADB"/>
    <w:rsid w:val="00C87C11"/>
    <w:rsid w:val="00CA10BF"/>
    <w:rsid w:val="00CD7EB4"/>
    <w:rsid w:val="00CE1E63"/>
    <w:rsid w:val="00CF4E4C"/>
    <w:rsid w:val="00D0150B"/>
    <w:rsid w:val="00D03A25"/>
    <w:rsid w:val="00D13696"/>
    <w:rsid w:val="00D31F17"/>
    <w:rsid w:val="00D44B8C"/>
    <w:rsid w:val="00D5220E"/>
    <w:rsid w:val="00D535FA"/>
    <w:rsid w:val="00D60AAE"/>
    <w:rsid w:val="00D677FE"/>
    <w:rsid w:val="00D740D6"/>
    <w:rsid w:val="00D755BE"/>
    <w:rsid w:val="00DA57A5"/>
    <w:rsid w:val="00DB108B"/>
    <w:rsid w:val="00DD0AFD"/>
    <w:rsid w:val="00DD75AF"/>
    <w:rsid w:val="00E02726"/>
    <w:rsid w:val="00E04053"/>
    <w:rsid w:val="00E0432D"/>
    <w:rsid w:val="00E2249C"/>
    <w:rsid w:val="00E30ED6"/>
    <w:rsid w:val="00E31653"/>
    <w:rsid w:val="00E4110A"/>
    <w:rsid w:val="00EA100E"/>
    <w:rsid w:val="00ED3B0F"/>
    <w:rsid w:val="00ED6B23"/>
    <w:rsid w:val="00EE736E"/>
    <w:rsid w:val="00F06A98"/>
    <w:rsid w:val="00F22AE1"/>
    <w:rsid w:val="00F4157D"/>
    <w:rsid w:val="00F53227"/>
    <w:rsid w:val="00F53D25"/>
    <w:rsid w:val="00F648E5"/>
    <w:rsid w:val="00F86FA0"/>
    <w:rsid w:val="00F9170B"/>
    <w:rsid w:val="00FA1C43"/>
    <w:rsid w:val="00FE4CA0"/>
    <w:rsid w:val="00FF49B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2B6"/>
  <w15:docId w15:val="{AF268F5C-A60C-4D69-B782-E8F0503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3526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526"/>
  </w:style>
  <w:style w:type="paragraph" w:styleId="Podnoje">
    <w:name w:val="footer"/>
    <w:basedOn w:val="Normal"/>
    <w:link w:val="Podno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526"/>
  </w:style>
  <w:style w:type="table" w:customStyle="1" w:styleId="TableGrid">
    <w:name w:val="TableGrid"/>
    <w:rsid w:val="00973998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marinaafg@gmail.com</cp:lastModifiedBy>
  <cp:revision>76</cp:revision>
  <cp:lastPrinted>2022-12-07T11:55:00Z</cp:lastPrinted>
  <dcterms:created xsi:type="dcterms:W3CDTF">2022-10-12T12:38:00Z</dcterms:created>
  <dcterms:modified xsi:type="dcterms:W3CDTF">2022-12-07T12:36:00Z</dcterms:modified>
</cp:coreProperties>
</file>