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156D6" w14:paraId="1E74DA8F" w14:textId="77777777">
        <w:tblPrEx>
          <w:tblCellMar>
            <w:top w:w="0" w:type="dxa"/>
            <w:bottom w:w="0" w:type="dxa"/>
          </w:tblCellMar>
        </w:tblPrEx>
        <w:trPr>
          <w:tblCellSpacing w:w="60" w:type="dxa"/>
        </w:trPr>
        <w:tc>
          <w:tcPr>
            <w:tcW w:w="1200" w:type="pct"/>
            <w:shd w:val="clear" w:color="auto" w:fill="E7F0F9"/>
          </w:tcPr>
          <w:p w14:paraId="50287935" w14:textId="77777777" w:rsidR="004156D6" w:rsidRDefault="00000000">
            <w:pPr>
              <w:spacing w:after="0" w:line="240" w:lineRule="auto"/>
            </w:pPr>
            <w:r>
              <w:rPr>
                <w:b/>
              </w:rPr>
              <w:t>RKP broj</w:t>
            </w:r>
          </w:p>
        </w:tc>
        <w:tc>
          <w:tcPr>
            <w:tcW w:w="0" w:type="auto"/>
            <w:shd w:val="clear" w:color="auto" w:fill="E7F0F9"/>
          </w:tcPr>
          <w:p w14:paraId="3BBEB6BA" w14:textId="77777777" w:rsidR="004156D6" w:rsidRDefault="00000000">
            <w:pPr>
              <w:spacing w:after="0" w:line="240" w:lineRule="auto"/>
            </w:pPr>
            <w:r>
              <w:t>33771</w:t>
            </w:r>
          </w:p>
        </w:tc>
      </w:tr>
      <w:tr w:rsidR="004156D6" w14:paraId="38CFA12B" w14:textId="77777777">
        <w:tblPrEx>
          <w:tblCellMar>
            <w:top w:w="0" w:type="dxa"/>
            <w:bottom w:w="0" w:type="dxa"/>
          </w:tblCellMar>
        </w:tblPrEx>
        <w:trPr>
          <w:tblCellSpacing w:w="60" w:type="dxa"/>
        </w:trPr>
        <w:tc>
          <w:tcPr>
            <w:tcW w:w="1200" w:type="pct"/>
            <w:shd w:val="clear" w:color="auto" w:fill="E7F0F9"/>
          </w:tcPr>
          <w:p w14:paraId="03F16364" w14:textId="77777777" w:rsidR="004156D6" w:rsidRDefault="00000000">
            <w:pPr>
              <w:spacing w:after="0" w:line="240" w:lineRule="auto"/>
            </w:pPr>
            <w:r>
              <w:rPr>
                <w:b/>
              </w:rPr>
              <w:t>Naziv obveznika</w:t>
            </w:r>
          </w:p>
        </w:tc>
        <w:tc>
          <w:tcPr>
            <w:tcW w:w="0" w:type="auto"/>
            <w:shd w:val="clear" w:color="auto" w:fill="E7F0F9"/>
          </w:tcPr>
          <w:p w14:paraId="5E7E92B9" w14:textId="77777777" w:rsidR="004156D6" w:rsidRDefault="00000000">
            <w:pPr>
              <w:spacing w:after="0" w:line="240" w:lineRule="auto"/>
            </w:pPr>
            <w:r>
              <w:t>MUZEJ GRADA ŠIBENIKA</w:t>
            </w:r>
          </w:p>
        </w:tc>
      </w:tr>
      <w:tr w:rsidR="004156D6" w14:paraId="5B35E7FC" w14:textId="77777777">
        <w:tblPrEx>
          <w:tblCellMar>
            <w:top w:w="0" w:type="dxa"/>
            <w:bottom w:w="0" w:type="dxa"/>
          </w:tblCellMar>
        </w:tblPrEx>
        <w:trPr>
          <w:tblCellSpacing w:w="60" w:type="dxa"/>
        </w:trPr>
        <w:tc>
          <w:tcPr>
            <w:tcW w:w="1200" w:type="pct"/>
            <w:shd w:val="clear" w:color="auto" w:fill="E7F0F9"/>
          </w:tcPr>
          <w:p w14:paraId="1066BFEC" w14:textId="77777777" w:rsidR="004156D6" w:rsidRDefault="00000000">
            <w:pPr>
              <w:spacing w:after="0" w:line="240" w:lineRule="auto"/>
            </w:pPr>
            <w:r>
              <w:rPr>
                <w:b/>
              </w:rPr>
              <w:t>Razina</w:t>
            </w:r>
          </w:p>
        </w:tc>
        <w:tc>
          <w:tcPr>
            <w:tcW w:w="0" w:type="auto"/>
            <w:shd w:val="clear" w:color="auto" w:fill="E7F0F9"/>
          </w:tcPr>
          <w:p w14:paraId="50DD7748" w14:textId="77777777" w:rsidR="004156D6" w:rsidRDefault="00000000">
            <w:pPr>
              <w:spacing w:after="0" w:line="240" w:lineRule="auto"/>
            </w:pPr>
            <w:r>
              <w:t>21</w:t>
            </w:r>
          </w:p>
        </w:tc>
      </w:tr>
    </w:tbl>
    <w:p w14:paraId="3E119ECA" w14:textId="77777777" w:rsidR="004156D6" w:rsidRDefault="00000000">
      <w:r>
        <w:br/>
      </w:r>
    </w:p>
    <w:p w14:paraId="450588F8" w14:textId="77777777" w:rsidR="004156D6" w:rsidRDefault="00000000">
      <w:pPr>
        <w:spacing w:line="240" w:lineRule="auto"/>
        <w:jc w:val="center"/>
      </w:pPr>
      <w:r>
        <w:rPr>
          <w:b/>
          <w:sz w:val="28"/>
        </w:rPr>
        <w:t>BILJEŠKE UZ FINANCIJSKE IZVJEŠTAJE</w:t>
      </w:r>
    </w:p>
    <w:p w14:paraId="006466EB" w14:textId="77777777" w:rsidR="004156D6" w:rsidRDefault="00000000">
      <w:pPr>
        <w:spacing w:line="240" w:lineRule="auto"/>
        <w:jc w:val="center"/>
      </w:pPr>
      <w:r>
        <w:rPr>
          <w:b/>
          <w:sz w:val="28"/>
        </w:rPr>
        <w:t>ZA RAZDOBLJE</w:t>
      </w:r>
    </w:p>
    <w:p w14:paraId="26CCEA2A" w14:textId="77777777" w:rsidR="004156D6" w:rsidRDefault="00000000">
      <w:pPr>
        <w:spacing w:line="240" w:lineRule="auto"/>
        <w:jc w:val="center"/>
      </w:pPr>
      <w:r>
        <w:rPr>
          <w:b/>
          <w:sz w:val="28"/>
        </w:rPr>
        <w:t>I - XII 2025.</w:t>
      </w:r>
    </w:p>
    <w:p w14:paraId="1E4007DB" w14:textId="77777777" w:rsidR="004156D6" w:rsidRDefault="004156D6"/>
    <w:p w14:paraId="197A2012" w14:textId="77777777" w:rsidR="004156D6" w:rsidRDefault="00000000">
      <w:pPr>
        <w:keepNext/>
        <w:spacing w:line="240" w:lineRule="auto"/>
        <w:jc w:val="center"/>
      </w:pPr>
      <w:r>
        <w:rPr>
          <w:b/>
          <w:sz w:val="28"/>
        </w:rPr>
        <w:t>Izvještaj o prihodima i rashodima, primicima i izdacima</w:t>
      </w:r>
    </w:p>
    <w:p w14:paraId="7D2D1F43" w14:textId="77777777" w:rsidR="004156D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2FCC37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154D8B"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4C9F3F"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85EDE1"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03C135"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17DA75"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2489ED" w14:textId="77777777" w:rsidR="004156D6" w:rsidRDefault="00000000">
            <w:pPr>
              <w:keepNext/>
              <w:keepLines/>
              <w:spacing w:after="0" w:line="240" w:lineRule="auto"/>
              <w:jc w:val="center"/>
            </w:pPr>
            <w:r>
              <w:rPr>
                <w:b/>
                <w:sz w:val="18"/>
              </w:rPr>
              <w:t>Indeks (%)</w:t>
            </w:r>
          </w:p>
        </w:tc>
      </w:tr>
      <w:tr w:rsidR="004156D6" w14:paraId="195D89DF" w14:textId="77777777">
        <w:tblPrEx>
          <w:tblCellMar>
            <w:top w:w="0" w:type="dxa"/>
            <w:bottom w:w="0" w:type="dxa"/>
          </w:tblCellMar>
        </w:tblPrEx>
        <w:trPr>
          <w:cantSplit/>
          <w:trHeight w:val="560"/>
        </w:trPr>
        <w:tc>
          <w:tcPr>
            <w:tcW w:w="700" w:type="dxa"/>
            <w:tcMar>
              <w:top w:w="0" w:type="dxa"/>
              <w:bottom w:w="0" w:type="dxa"/>
            </w:tcMar>
            <w:vAlign w:val="center"/>
          </w:tcPr>
          <w:p w14:paraId="487E7F2A" w14:textId="77777777" w:rsidR="004156D6" w:rsidRDefault="00000000">
            <w:pPr>
              <w:keepNext/>
              <w:keepLines/>
              <w:spacing w:after="0" w:line="240" w:lineRule="auto"/>
            </w:pPr>
            <w:r>
              <w:rPr>
                <w:sz w:val="18"/>
              </w:rPr>
              <w:t>6</w:t>
            </w:r>
          </w:p>
        </w:tc>
        <w:tc>
          <w:tcPr>
            <w:tcW w:w="3180" w:type="dxa"/>
            <w:tcMar>
              <w:top w:w="0" w:type="dxa"/>
              <w:bottom w:w="0" w:type="dxa"/>
            </w:tcMar>
            <w:vAlign w:val="center"/>
          </w:tcPr>
          <w:p w14:paraId="37E15523" w14:textId="77777777" w:rsidR="004156D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A8BE240" w14:textId="77777777" w:rsidR="004156D6" w:rsidRDefault="00000000">
            <w:pPr>
              <w:keepNext/>
              <w:keepLines/>
              <w:spacing w:after="0" w:line="240" w:lineRule="auto"/>
            </w:pPr>
            <w:r>
              <w:rPr>
                <w:sz w:val="18"/>
              </w:rPr>
              <w:t>6</w:t>
            </w:r>
          </w:p>
        </w:tc>
        <w:tc>
          <w:tcPr>
            <w:tcW w:w="1860" w:type="dxa"/>
            <w:tcMar>
              <w:top w:w="0" w:type="dxa"/>
              <w:bottom w:w="0" w:type="dxa"/>
            </w:tcMar>
            <w:vAlign w:val="center"/>
          </w:tcPr>
          <w:p w14:paraId="4373967A" w14:textId="77777777" w:rsidR="004156D6" w:rsidRDefault="00000000">
            <w:pPr>
              <w:keepNext/>
              <w:keepLines/>
              <w:spacing w:after="0" w:line="240" w:lineRule="auto"/>
              <w:jc w:val="right"/>
            </w:pPr>
            <w:r>
              <w:rPr>
                <w:sz w:val="18"/>
              </w:rPr>
              <w:t>920.358,34</w:t>
            </w:r>
          </w:p>
        </w:tc>
        <w:tc>
          <w:tcPr>
            <w:tcW w:w="1860" w:type="dxa"/>
            <w:tcMar>
              <w:top w:w="0" w:type="dxa"/>
              <w:bottom w:w="0" w:type="dxa"/>
            </w:tcMar>
            <w:vAlign w:val="center"/>
          </w:tcPr>
          <w:p w14:paraId="4460AF5F" w14:textId="77777777" w:rsidR="004156D6" w:rsidRDefault="00000000">
            <w:pPr>
              <w:keepNext/>
              <w:keepLines/>
              <w:spacing w:after="0" w:line="240" w:lineRule="auto"/>
              <w:jc w:val="right"/>
            </w:pPr>
            <w:r>
              <w:rPr>
                <w:sz w:val="18"/>
              </w:rPr>
              <w:t>1.191.683,47</w:t>
            </w:r>
          </w:p>
        </w:tc>
        <w:tc>
          <w:tcPr>
            <w:tcW w:w="700" w:type="dxa"/>
            <w:tcMar>
              <w:top w:w="0" w:type="dxa"/>
              <w:bottom w:w="0" w:type="dxa"/>
            </w:tcMar>
            <w:vAlign w:val="center"/>
          </w:tcPr>
          <w:p w14:paraId="4C349C50" w14:textId="77777777" w:rsidR="004156D6" w:rsidRDefault="00000000">
            <w:pPr>
              <w:keepNext/>
              <w:keepLines/>
              <w:spacing w:after="0" w:line="240" w:lineRule="auto"/>
              <w:jc w:val="right"/>
            </w:pPr>
            <w:r>
              <w:rPr>
                <w:sz w:val="18"/>
              </w:rPr>
              <w:t>129,5</w:t>
            </w:r>
          </w:p>
        </w:tc>
      </w:tr>
      <w:tr w:rsidR="004156D6" w14:paraId="0133055C" w14:textId="77777777">
        <w:tblPrEx>
          <w:tblCellMar>
            <w:top w:w="0" w:type="dxa"/>
            <w:bottom w:w="0" w:type="dxa"/>
          </w:tblCellMar>
        </w:tblPrEx>
        <w:trPr>
          <w:cantSplit/>
          <w:trHeight w:val="560"/>
        </w:trPr>
        <w:tc>
          <w:tcPr>
            <w:tcW w:w="700" w:type="dxa"/>
            <w:tcMar>
              <w:top w:w="0" w:type="dxa"/>
              <w:bottom w:w="0" w:type="dxa"/>
            </w:tcMar>
            <w:vAlign w:val="center"/>
          </w:tcPr>
          <w:p w14:paraId="347EFD90" w14:textId="77777777" w:rsidR="004156D6" w:rsidRDefault="00000000">
            <w:pPr>
              <w:keepNext/>
              <w:keepLines/>
              <w:spacing w:after="0" w:line="240" w:lineRule="auto"/>
            </w:pPr>
            <w:r>
              <w:rPr>
                <w:sz w:val="18"/>
              </w:rPr>
              <w:t>3</w:t>
            </w:r>
          </w:p>
        </w:tc>
        <w:tc>
          <w:tcPr>
            <w:tcW w:w="3180" w:type="dxa"/>
            <w:tcMar>
              <w:top w:w="0" w:type="dxa"/>
              <w:bottom w:w="0" w:type="dxa"/>
            </w:tcMar>
            <w:vAlign w:val="center"/>
          </w:tcPr>
          <w:p w14:paraId="06D25715" w14:textId="77777777" w:rsidR="004156D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E6364F8" w14:textId="77777777" w:rsidR="004156D6" w:rsidRDefault="00000000">
            <w:pPr>
              <w:keepNext/>
              <w:keepLines/>
              <w:spacing w:after="0" w:line="240" w:lineRule="auto"/>
            </w:pPr>
            <w:r>
              <w:rPr>
                <w:sz w:val="18"/>
              </w:rPr>
              <w:t>3</w:t>
            </w:r>
          </w:p>
        </w:tc>
        <w:tc>
          <w:tcPr>
            <w:tcW w:w="1860" w:type="dxa"/>
            <w:tcMar>
              <w:top w:w="0" w:type="dxa"/>
              <w:bottom w:w="0" w:type="dxa"/>
            </w:tcMar>
            <w:vAlign w:val="center"/>
          </w:tcPr>
          <w:p w14:paraId="56255B9A" w14:textId="77777777" w:rsidR="004156D6" w:rsidRDefault="00000000">
            <w:pPr>
              <w:keepNext/>
              <w:keepLines/>
              <w:spacing w:after="0" w:line="240" w:lineRule="auto"/>
              <w:jc w:val="right"/>
            </w:pPr>
            <w:r>
              <w:rPr>
                <w:sz w:val="18"/>
              </w:rPr>
              <w:t>853.791,37</w:t>
            </w:r>
          </w:p>
        </w:tc>
        <w:tc>
          <w:tcPr>
            <w:tcW w:w="1860" w:type="dxa"/>
            <w:tcMar>
              <w:top w:w="0" w:type="dxa"/>
              <w:bottom w:w="0" w:type="dxa"/>
            </w:tcMar>
            <w:vAlign w:val="center"/>
          </w:tcPr>
          <w:p w14:paraId="72381728" w14:textId="77777777" w:rsidR="004156D6" w:rsidRDefault="00000000">
            <w:pPr>
              <w:keepNext/>
              <w:keepLines/>
              <w:spacing w:after="0" w:line="240" w:lineRule="auto"/>
              <w:jc w:val="right"/>
            </w:pPr>
            <w:r>
              <w:rPr>
                <w:sz w:val="18"/>
              </w:rPr>
              <w:t>958.912,03</w:t>
            </w:r>
          </w:p>
        </w:tc>
        <w:tc>
          <w:tcPr>
            <w:tcW w:w="700" w:type="dxa"/>
            <w:tcMar>
              <w:top w:w="0" w:type="dxa"/>
              <w:bottom w:w="0" w:type="dxa"/>
            </w:tcMar>
            <w:vAlign w:val="center"/>
          </w:tcPr>
          <w:p w14:paraId="6CDD4F2B" w14:textId="77777777" w:rsidR="004156D6" w:rsidRDefault="00000000">
            <w:pPr>
              <w:keepNext/>
              <w:keepLines/>
              <w:spacing w:after="0" w:line="240" w:lineRule="auto"/>
              <w:jc w:val="right"/>
            </w:pPr>
            <w:r>
              <w:rPr>
                <w:sz w:val="18"/>
              </w:rPr>
              <w:t>112,3</w:t>
            </w:r>
          </w:p>
        </w:tc>
      </w:tr>
      <w:tr w:rsidR="004156D6" w14:paraId="0073A76A" w14:textId="77777777">
        <w:tblPrEx>
          <w:tblCellMar>
            <w:top w:w="0" w:type="dxa"/>
            <w:bottom w:w="0" w:type="dxa"/>
          </w:tblCellMar>
        </w:tblPrEx>
        <w:trPr>
          <w:cantSplit/>
          <w:trHeight w:val="560"/>
        </w:trPr>
        <w:tc>
          <w:tcPr>
            <w:tcW w:w="700" w:type="dxa"/>
            <w:tcMar>
              <w:top w:w="0" w:type="dxa"/>
              <w:bottom w:w="0" w:type="dxa"/>
            </w:tcMar>
            <w:vAlign w:val="center"/>
          </w:tcPr>
          <w:p w14:paraId="1D613AB8" w14:textId="77777777" w:rsidR="004156D6" w:rsidRDefault="004156D6">
            <w:pPr>
              <w:keepNext/>
              <w:keepLines/>
              <w:spacing w:after="0" w:line="240" w:lineRule="auto"/>
            </w:pPr>
          </w:p>
        </w:tc>
        <w:tc>
          <w:tcPr>
            <w:tcW w:w="3180" w:type="dxa"/>
            <w:tcMar>
              <w:top w:w="0" w:type="dxa"/>
              <w:bottom w:w="0" w:type="dxa"/>
            </w:tcMar>
            <w:vAlign w:val="center"/>
          </w:tcPr>
          <w:p w14:paraId="36166356" w14:textId="77777777" w:rsidR="004156D6"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3EDABF4" w14:textId="77777777" w:rsidR="004156D6" w:rsidRDefault="00000000">
            <w:pPr>
              <w:keepNext/>
              <w:keepLines/>
              <w:spacing w:after="0" w:line="240" w:lineRule="auto"/>
            </w:pPr>
            <w:r>
              <w:rPr>
                <w:b/>
                <w:sz w:val="18"/>
              </w:rPr>
              <w:t>X001</w:t>
            </w:r>
          </w:p>
        </w:tc>
        <w:tc>
          <w:tcPr>
            <w:tcW w:w="1860" w:type="dxa"/>
            <w:tcMar>
              <w:top w:w="0" w:type="dxa"/>
              <w:bottom w:w="0" w:type="dxa"/>
            </w:tcMar>
            <w:vAlign w:val="center"/>
          </w:tcPr>
          <w:p w14:paraId="1FEA795F" w14:textId="77777777" w:rsidR="004156D6" w:rsidRDefault="00000000">
            <w:pPr>
              <w:keepNext/>
              <w:keepLines/>
              <w:spacing w:after="0" w:line="240" w:lineRule="auto"/>
              <w:jc w:val="right"/>
            </w:pPr>
            <w:r>
              <w:rPr>
                <w:b/>
                <w:sz w:val="18"/>
              </w:rPr>
              <w:t>66.566,97</w:t>
            </w:r>
          </w:p>
        </w:tc>
        <w:tc>
          <w:tcPr>
            <w:tcW w:w="1860" w:type="dxa"/>
            <w:tcMar>
              <w:top w:w="0" w:type="dxa"/>
              <w:bottom w:w="0" w:type="dxa"/>
            </w:tcMar>
            <w:vAlign w:val="center"/>
          </w:tcPr>
          <w:p w14:paraId="013F012A" w14:textId="77777777" w:rsidR="004156D6" w:rsidRDefault="00000000">
            <w:pPr>
              <w:keepNext/>
              <w:keepLines/>
              <w:spacing w:after="0" w:line="240" w:lineRule="auto"/>
              <w:jc w:val="right"/>
            </w:pPr>
            <w:r>
              <w:rPr>
                <w:b/>
                <w:sz w:val="18"/>
              </w:rPr>
              <w:t>232.771,44</w:t>
            </w:r>
          </w:p>
        </w:tc>
        <w:tc>
          <w:tcPr>
            <w:tcW w:w="700" w:type="dxa"/>
            <w:tcMar>
              <w:top w:w="0" w:type="dxa"/>
              <w:bottom w:w="0" w:type="dxa"/>
            </w:tcMar>
            <w:vAlign w:val="center"/>
          </w:tcPr>
          <w:p w14:paraId="691C5EF4" w14:textId="77777777" w:rsidR="004156D6" w:rsidRDefault="00000000">
            <w:pPr>
              <w:keepNext/>
              <w:keepLines/>
              <w:spacing w:after="0" w:line="240" w:lineRule="auto"/>
              <w:jc w:val="right"/>
            </w:pPr>
            <w:r>
              <w:rPr>
                <w:b/>
                <w:sz w:val="18"/>
              </w:rPr>
              <w:t>349,7</w:t>
            </w:r>
          </w:p>
        </w:tc>
      </w:tr>
      <w:tr w:rsidR="004156D6" w14:paraId="42661593" w14:textId="77777777">
        <w:tblPrEx>
          <w:tblCellMar>
            <w:top w:w="0" w:type="dxa"/>
            <w:bottom w:w="0" w:type="dxa"/>
          </w:tblCellMar>
        </w:tblPrEx>
        <w:trPr>
          <w:cantSplit/>
          <w:trHeight w:val="560"/>
        </w:trPr>
        <w:tc>
          <w:tcPr>
            <w:tcW w:w="700" w:type="dxa"/>
            <w:tcMar>
              <w:top w:w="0" w:type="dxa"/>
              <w:bottom w:w="0" w:type="dxa"/>
            </w:tcMar>
            <w:vAlign w:val="center"/>
          </w:tcPr>
          <w:p w14:paraId="6FEA343E" w14:textId="77777777" w:rsidR="004156D6" w:rsidRDefault="00000000">
            <w:pPr>
              <w:keepNext/>
              <w:keepLines/>
              <w:spacing w:after="0" w:line="240" w:lineRule="auto"/>
            </w:pPr>
            <w:r>
              <w:rPr>
                <w:sz w:val="18"/>
              </w:rPr>
              <w:t>7</w:t>
            </w:r>
          </w:p>
        </w:tc>
        <w:tc>
          <w:tcPr>
            <w:tcW w:w="3180" w:type="dxa"/>
            <w:tcMar>
              <w:top w:w="0" w:type="dxa"/>
              <w:bottom w:w="0" w:type="dxa"/>
            </w:tcMar>
            <w:vAlign w:val="center"/>
          </w:tcPr>
          <w:p w14:paraId="06E32B36" w14:textId="77777777" w:rsidR="004156D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3FD58DC" w14:textId="77777777" w:rsidR="004156D6" w:rsidRDefault="00000000">
            <w:pPr>
              <w:keepNext/>
              <w:keepLines/>
              <w:spacing w:after="0" w:line="240" w:lineRule="auto"/>
            </w:pPr>
            <w:r>
              <w:rPr>
                <w:sz w:val="18"/>
              </w:rPr>
              <w:t>7</w:t>
            </w:r>
          </w:p>
        </w:tc>
        <w:tc>
          <w:tcPr>
            <w:tcW w:w="1860" w:type="dxa"/>
            <w:tcMar>
              <w:top w:w="0" w:type="dxa"/>
              <w:bottom w:w="0" w:type="dxa"/>
            </w:tcMar>
            <w:vAlign w:val="center"/>
          </w:tcPr>
          <w:p w14:paraId="3946CA23" w14:textId="77777777" w:rsidR="004156D6" w:rsidRDefault="00000000">
            <w:pPr>
              <w:keepNext/>
              <w:keepLines/>
              <w:spacing w:after="0" w:line="240" w:lineRule="auto"/>
              <w:jc w:val="right"/>
            </w:pPr>
            <w:r>
              <w:rPr>
                <w:sz w:val="18"/>
              </w:rPr>
              <w:t>0,00</w:t>
            </w:r>
          </w:p>
        </w:tc>
        <w:tc>
          <w:tcPr>
            <w:tcW w:w="1860" w:type="dxa"/>
            <w:tcMar>
              <w:top w:w="0" w:type="dxa"/>
              <w:bottom w:w="0" w:type="dxa"/>
            </w:tcMar>
            <w:vAlign w:val="center"/>
          </w:tcPr>
          <w:p w14:paraId="6BC56EDD" w14:textId="77777777" w:rsidR="004156D6" w:rsidRDefault="00000000">
            <w:pPr>
              <w:keepNext/>
              <w:keepLines/>
              <w:spacing w:after="0" w:line="240" w:lineRule="auto"/>
              <w:jc w:val="right"/>
            </w:pPr>
            <w:r>
              <w:rPr>
                <w:sz w:val="18"/>
              </w:rPr>
              <w:t>0,00</w:t>
            </w:r>
          </w:p>
        </w:tc>
        <w:tc>
          <w:tcPr>
            <w:tcW w:w="700" w:type="dxa"/>
            <w:tcMar>
              <w:top w:w="0" w:type="dxa"/>
              <w:bottom w:w="0" w:type="dxa"/>
            </w:tcMar>
            <w:vAlign w:val="center"/>
          </w:tcPr>
          <w:p w14:paraId="103AFF70" w14:textId="77777777" w:rsidR="004156D6" w:rsidRDefault="00000000">
            <w:pPr>
              <w:keepNext/>
              <w:keepLines/>
              <w:spacing w:after="0" w:line="240" w:lineRule="auto"/>
              <w:jc w:val="right"/>
            </w:pPr>
            <w:r>
              <w:rPr>
                <w:sz w:val="18"/>
              </w:rPr>
              <w:t>-</w:t>
            </w:r>
          </w:p>
        </w:tc>
      </w:tr>
      <w:tr w:rsidR="004156D6" w14:paraId="055EA5BD" w14:textId="77777777">
        <w:tblPrEx>
          <w:tblCellMar>
            <w:top w:w="0" w:type="dxa"/>
            <w:bottom w:w="0" w:type="dxa"/>
          </w:tblCellMar>
        </w:tblPrEx>
        <w:trPr>
          <w:cantSplit/>
          <w:trHeight w:val="560"/>
        </w:trPr>
        <w:tc>
          <w:tcPr>
            <w:tcW w:w="700" w:type="dxa"/>
            <w:tcMar>
              <w:top w:w="0" w:type="dxa"/>
              <w:bottom w:w="0" w:type="dxa"/>
            </w:tcMar>
            <w:vAlign w:val="center"/>
          </w:tcPr>
          <w:p w14:paraId="6156707B" w14:textId="77777777" w:rsidR="004156D6" w:rsidRDefault="00000000">
            <w:pPr>
              <w:keepNext/>
              <w:keepLines/>
              <w:spacing w:after="0" w:line="240" w:lineRule="auto"/>
            </w:pPr>
            <w:r>
              <w:rPr>
                <w:sz w:val="18"/>
              </w:rPr>
              <w:t>4</w:t>
            </w:r>
          </w:p>
        </w:tc>
        <w:tc>
          <w:tcPr>
            <w:tcW w:w="3180" w:type="dxa"/>
            <w:tcMar>
              <w:top w:w="0" w:type="dxa"/>
              <w:bottom w:w="0" w:type="dxa"/>
            </w:tcMar>
            <w:vAlign w:val="center"/>
          </w:tcPr>
          <w:p w14:paraId="4C2614D8" w14:textId="77777777" w:rsidR="004156D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BFA8D77" w14:textId="77777777" w:rsidR="004156D6" w:rsidRDefault="00000000">
            <w:pPr>
              <w:keepNext/>
              <w:keepLines/>
              <w:spacing w:after="0" w:line="240" w:lineRule="auto"/>
            </w:pPr>
            <w:r>
              <w:rPr>
                <w:sz w:val="18"/>
              </w:rPr>
              <w:t>4</w:t>
            </w:r>
          </w:p>
        </w:tc>
        <w:tc>
          <w:tcPr>
            <w:tcW w:w="1860" w:type="dxa"/>
            <w:tcMar>
              <w:top w:w="0" w:type="dxa"/>
              <w:bottom w:w="0" w:type="dxa"/>
            </w:tcMar>
            <w:vAlign w:val="center"/>
          </w:tcPr>
          <w:p w14:paraId="0611F6C2" w14:textId="77777777" w:rsidR="004156D6" w:rsidRDefault="00000000">
            <w:pPr>
              <w:keepNext/>
              <w:keepLines/>
              <w:spacing w:after="0" w:line="240" w:lineRule="auto"/>
              <w:jc w:val="right"/>
            </w:pPr>
            <w:r>
              <w:rPr>
                <w:sz w:val="18"/>
              </w:rPr>
              <w:t>115.678,26</w:t>
            </w:r>
          </w:p>
        </w:tc>
        <w:tc>
          <w:tcPr>
            <w:tcW w:w="1860" w:type="dxa"/>
            <w:tcMar>
              <w:top w:w="0" w:type="dxa"/>
              <w:bottom w:w="0" w:type="dxa"/>
            </w:tcMar>
            <w:vAlign w:val="center"/>
          </w:tcPr>
          <w:p w14:paraId="7A3432EF" w14:textId="77777777" w:rsidR="004156D6" w:rsidRDefault="00000000">
            <w:pPr>
              <w:keepNext/>
              <w:keepLines/>
              <w:spacing w:after="0" w:line="240" w:lineRule="auto"/>
              <w:jc w:val="right"/>
            </w:pPr>
            <w:r>
              <w:rPr>
                <w:sz w:val="18"/>
              </w:rPr>
              <w:t>441.895,84</w:t>
            </w:r>
          </w:p>
        </w:tc>
        <w:tc>
          <w:tcPr>
            <w:tcW w:w="700" w:type="dxa"/>
            <w:tcMar>
              <w:top w:w="0" w:type="dxa"/>
              <w:bottom w:w="0" w:type="dxa"/>
            </w:tcMar>
            <w:vAlign w:val="center"/>
          </w:tcPr>
          <w:p w14:paraId="3F92FF73" w14:textId="77777777" w:rsidR="004156D6" w:rsidRDefault="00000000">
            <w:pPr>
              <w:keepNext/>
              <w:keepLines/>
              <w:spacing w:after="0" w:line="240" w:lineRule="auto"/>
              <w:jc w:val="right"/>
            </w:pPr>
            <w:r>
              <w:rPr>
                <w:sz w:val="18"/>
              </w:rPr>
              <w:t>382,0</w:t>
            </w:r>
          </w:p>
        </w:tc>
      </w:tr>
      <w:tr w:rsidR="004156D6" w14:paraId="3F3FDBBF" w14:textId="77777777">
        <w:tblPrEx>
          <w:tblCellMar>
            <w:top w:w="0" w:type="dxa"/>
            <w:bottom w:w="0" w:type="dxa"/>
          </w:tblCellMar>
        </w:tblPrEx>
        <w:trPr>
          <w:cantSplit/>
          <w:trHeight w:val="560"/>
        </w:trPr>
        <w:tc>
          <w:tcPr>
            <w:tcW w:w="700" w:type="dxa"/>
            <w:tcMar>
              <w:top w:w="0" w:type="dxa"/>
              <w:bottom w:w="0" w:type="dxa"/>
            </w:tcMar>
            <w:vAlign w:val="center"/>
          </w:tcPr>
          <w:p w14:paraId="1B08F7AA" w14:textId="77777777" w:rsidR="004156D6" w:rsidRDefault="004156D6">
            <w:pPr>
              <w:keepNext/>
              <w:keepLines/>
              <w:spacing w:after="0" w:line="240" w:lineRule="auto"/>
            </w:pPr>
          </w:p>
        </w:tc>
        <w:tc>
          <w:tcPr>
            <w:tcW w:w="3180" w:type="dxa"/>
            <w:tcMar>
              <w:top w:w="0" w:type="dxa"/>
              <w:bottom w:w="0" w:type="dxa"/>
            </w:tcMar>
            <w:vAlign w:val="center"/>
          </w:tcPr>
          <w:p w14:paraId="4211EA7B" w14:textId="77777777" w:rsidR="004156D6"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45D5397" w14:textId="77777777" w:rsidR="004156D6" w:rsidRDefault="00000000">
            <w:pPr>
              <w:keepNext/>
              <w:keepLines/>
              <w:spacing w:after="0" w:line="240" w:lineRule="auto"/>
            </w:pPr>
            <w:r>
              <w:rPr>
                <w:b/>
                <w:sz w:val="18"/>
              </w:rPr>
              <w:t>Y002</w:t>
            </w:r>
          </w:p>
        </w:tc>
        <w:tc>
          <w:tcPr>
            <w:tcW w:w="1860" w:type="dxa"/>
            <w:tcMar>
              <w:top w:w="0" w:type="dxa"/>
              <w:bottom w:w="0" w:type="dxa"/>
            </w:tcMar>
            <w:vAlign w:val="center"/>
          </w:tcPr>
          <w:p w14:paraId="4B5C98B4" w14:textId="77777777" w:rsidR="004156D6" w:rsidRDefault="00000000">
            <w:pPr>
              <w:keepNext/>
              <w:keepLines/>
              <w:spacing w:after="0" w:line="240" w:lineRule="auto"/>
              <w:jc w:val="right"/>
            </w:pPr>
            <w:r>
              <w:rPr>
                <w:b/>
                <w:sz w:val="18"/>
              </w:rPr>
              <w:t>115.678,26</w:t>
            </w:r>
          </w:p>
        </w:tc>
        <w:tc>
          <w:tcPr>
            <w:tcW w:w="1860" w:type="dxa"/>
            <w:tcMar>
              <w:top w:w="0" w:type="dxa"/>
              <w:bottom w:w="0" w:type="dxa"/>
            </w:tcMar>
            <w:vAlign w:val="center"/>
          </w:tcPr>
          <w:p w14:paraId="3A5B0ADB" w14:textId="77777777" w:rsidR="004156D6" w:rsidRDefault="00000000">
            <w:pPr>
              <w:keepNext/>
              <w:keepLines/>
              <w:spacing w:after="0" w:line="240" w:lineRule="auto"/>
              <w:jc w:val="right"/>
            </w:pPr>
            <w:r>
              <w:rPr>
                <w:b/>
                <w:sz w:val="18"/>
              </w:rPr>
              <w:t>441.895,84</w:t>
            </w:r>
          </w:p>
        </w:tc>
        <w:tc>
          <w:tcPr>
            <w:tcW w:w="700" w:type="dxa"/>
            <w:tcMar>
              <w:top w:w="0" w:type="dxa"/>
              <w:bottom w:w="0" w:type="dxa"/>
            </w:tcMar>
            <w:vAlign w:val="center"/>
          </w:tcPr>
          <w:p w14:paraId="51BC48C0" w14:textId="77777777" w:rsidR="004156D6" w:rsidRDefault="00000000">
            <w:pPr>
              <w:keepNext/>
              <w:keepLines/>
              <w:spacing w:after="0" w:line="240" w:lineRule="auto"/>
              <w:jc w:val="right"/>
            </w:pPr>
            <w:r>
              <w:rPr>
                <w:b/>
                <w:sz w:val="18"/>
              </w:rPr>
              <w:t>382,0</w:t>
            </w:r>
          </w:p>
        </w:tc>
      </w:tr>
      <w:tr w:rsidR="004156D6" w14:paraId="12BBDA1C" w14:textId="77777777">
        <w:tblPrEx>
          <w:tblCellMar>
            <w:top w:w="0" w:type="dxa"/>
            <w:bottom w:w="0" w:type="dxa"/>
          </w:tblCellMar>
        </w:tblPrEx>
        <w:trPr>
          <w:cantSplit/>
          <w:trHeight w:val="560"/>
        </w:trPr>
        <w:tc>
          <w:tcPr>
            <w:tcW w:w="700" w:type="dxa"/>
            <w:tcMar>
              <w:top w:w="0" w:type="dxa"/>
              <w:bottom w:w="0" w:type="dxa"/>
            </w:tcMar>
            <w:vAlign w:val="center"/>
          </w:tcPr>
          <w:p w14:paraId="0FDDFABE" w14:textId="77777777" w:rsidR="004156D6" w:rsidRDefault="00000000">
            <w:pPr>
              <w:keepNext/>
              <w:keepLines/>
              <w:spacing w:after="0" w:line="240" w:lineRule="auto"/>
            </w:pPr>
            <w:r>
              <w:rPr>
                <w:sz w:val="18"/>
              </w:rPr>
              <w:t>8</w:t>
            </w:r>
          </w:p>
        </w:tc>
        <w:tc>
          <w:tcPr>
            <w:tcW w:w="3180" w:type="dxa"/>
            <w:tcMar>
              <w:top w:w="0" w:type="dxa"/>
              <w:bottom w:w="0" w:type="dxa"/>
            </w:tcMar>
            <w:vAlign w:val="center"/>
          </w:tcPr>
          <w:p w14:paraId="51E90205" w14:textId="77777777" w:rsidR="004156D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2FF6017" w14:textId="77777777" w:rsidR="004156D6" w:rsidRDefault="00000000">
            <w:pPr>
              <w:keepNext/>
              <w:keepLines/>
              <w:spacing w:after="0" w:line="240" w:lineRule="auto"/>
            </w:pPr>
            <w:r>
              <w:rPr>
                <w:sz w:val="18"/>
              </w:rPr>
              <w:t>8</w:t>
            </w:r>
          </w:p>
        </w:tc>
        <w:tc>
          <w:tcPr>
            <w:tcW w:w="1860" w:type="dxa"/>
            <w:tcMar>
              <w:top w:w="0" w:type="dxa"/>
              <w:bottom w:w="0" w:type="dxa"/>
            </w:tcMar>
            <w:vAlign w:val="center"/>
          </w:tcPr>
          <w:p w14:paraId="4A16503C" w14:textId="77777777" w:rsidR="004156D6" w:rsidRDefault="00000000">
            <w:pPr>
              <w:keepNext/>
              <w:keepLines/>
              <w:spacing w:after="0" w:line="240" w:lineRule="auto"/>
              <w:jc w:val="right"/>
            </w:pPr>
            <w:r>
              <w:rPr>
                <w:sz w:val="18"/>
              </w:rPr>
              <w:t>0,00</w:t>
            </w:r>
          </w:p>
        </w:tc>
        <w:tc>
          <w:tcPr>
            <w:tcW w:w="1860" w:type="dxa"/>
            <w:tcMar>
              <w:top w:w="0" w:type="dxa"/>
              <w:bottom w:w="0" w:type="dxa"/>
            </w:tcMar>
            <w:vAlign w:val="center"/>
          </w:tcPr>
          <w:p w14:paraId="5510EDA1" w14:textId="77777777" w:rsidR="004156D6" w:rsidRDefault="00000000">
            <w:pPr>
              <w:keepNext/>
              <w:keepLines/>
              <w:spacing w:after="0" w:line="240" w:lineRule="auto"/>
              <w:jc w:val="right"/>
            </w:pPr>
            <w:r>
              <w:rPr>
                <w:sz w:val="18"/>
              </w:rPr>
              <w:t>0,00</w:t>
            </w:r>
          </w:p>
        </w:tc>
        <w:tc>
          <w:tcPr>
            <w:tcW w:w="700" w:type="dxa"/>
            <w:tcMar>
              <w:top w:w="0" w:type="dxa"/>
              <w:bottom w:w="0" w:type="dxa"/>
            </w:tcMar>
            <w:vAlign w:val="center"/>
          </w:tcPr>
          <w:p w14:paraId="05791F8B" w14:textId="77777777" w:rsidR="004156D6" w:rsidRDefault="00000000">
            <w:pPr>
              <w:keepNext/>
              <w:keepLines/>
              <w:spacing w:after="0" w:line="240" w:lineRule="auto"/>
              <w:jc w:val="right"/>
            </w:pPr>
            <w:r>
              <w:rPr>
                <w:sz w:val="18"/>
              </w:rPr>
              <w:t>-</w:t>
            </w:r>
          </w:p>
        </w:tc>
      </w:tr>
      <w:tr w:rsidR="004156D6" w14:paraId="337B3A81" w14:textId="77777777">
        <w:tblPrEx>
          <w:tblCellMar>
            <w:top w:w="0" w:type="dxa"/>
            <w:bottom w:w="0" w:type="dxa"/>
          </w:tblCellMar>
        </w:tblPrEx>
        <w:trPr>
          <w:cantSplit/>
          <w:trHeight w:val="560"/>
        </w:trPr>
        <w:tc>
          <w:tcPr>
            <w:tcW w:w="700" w:type="dxa"/>
            <w:tcMar>
              <w:top w:w="0" w:type="dxa"/>
              <w:bottom w:w="0" w:type="dxa"/>
            </w:tcMar>
            <w:vAlign w:val="center"/>
          </w:tcPr>
          <w:p w14:paraId="4BAB2A01" w14:textId="77777777" w:rsidR="004156D6" w:rsidRDefault="00000000">
            <w:pPr>
              <w:keepNext/>
              <w:keepLines/>
              <w:spacing w:after="0" w:line="240" w:lineRule="auto"/>
            </w:pPr>
            <w:r>
              <w:rPr>
                <w:sz w:val="18"/>
              </w:rPr>
              <w:t>5</w:t>
            </w:r>
          </w:p>
        </w:tc>
        <w:tc>
          <w:tcPr>
            <w:tcW w:w="3180" w:type="dxa"/>
            <w:tcMar>
              <w:top w:w="0" w:type="dxa"/>
              <w:bottom w:w="0" w:type="dxa"/>
            </w:tcMar>
            <w:vAlign w:val="center"/>
          </w:tcPr>
          <w:p w14:paraId="00774D4C" w14:textId="77777777" w:rsidR="004156D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BDD036B" w14:textId="77777777" w:rsidR="004156D6" w:rsidRDefault="00000000">
            <w:pPr>
              <w:keepNext/>
              <w:keepLines/>
              <w:spacing w:after="0" w:line="240" w:lineRule="auto"/>
            </w:pPr>
            <w:r>
              <w:rPr>
                <w:sz w:val="18"/>
              </w:rPr>
              <w:t>5</w:t>
            </w:r>
          </w:p>
        </w:tc>
        <w:tc>
          <w:tcPr>
            <w:tcW w:w="1860" w:type="dxa"/>
            <w:tcMar>
              <w:top w:w="0" w:type="dxa"/>
              <w:bottom w:w="0" w:type="dxa"/>
            </w:tcMar>
            <w:vAlign w:val="center"/>
          </w:tcPr>
          <w:p w14:paraId="68D92385" w14:textId="77777777" w:rsidR="004156D6" w:rsidRDefault="00000000">
            <w:pPr>
              <w:keepNext/>
              <w:keepLines/>
              <w:spacing w:after="0" w:line="240" w:lineRule="auto"/>
              <w:jc w:val="right"/>
            </w:pPr>
            <w:r>
              <w:rPr>
                <w:sz w:val="18"/>
              </w:rPr>
              <w:t>0,00</w:t>
            </w:r>
          </w:p>
        </w:tc>
        <w:tc>
          <w:tcPr>
            <w:tcW w:w="1860" w:type="dxa"/>
            <w:tcMar>
              <w:top w:w="0" w:type="dxa"/>
              <w:bottom w:w="0" w:type="dxa"/>
            </w:tcMar>
            <w:vAlign w:val="center"/>
          </w:tcPr>
          <w:p w14:paraId="6D34903D" w14:textId="77777777" w:rsidR="004156D6" w:rsidRDefault="00000000">
            <w:pPr>
              <w:keepNext/>
              <w:keepLines/>
              <w:spacing w:after="0" w:line="240" w:lineRule="auto"/>
              <w:jc w:val="right"/>
            </w:pPr>
            <w:r>
              <w:rPr>
                <w:sz w:val="18"/>
              </w:rPr>
              <w:t>0,00</w:t>
            </w:r>
          </w:p>
        </w:tc>
        <w:tc>
          <w:tcPr>
            <w:tcW w:w="700" w:type="dxa"/>
            <w:tcMar>
              <w:top w:w="0" w:type="dxa"/>
              <w:bottom w:w="0" w:type="dxa"/>
            </w:tcMar>
            <w:vAlign w:val="center"/>
          </w:tcPr>
          <w:p w14:paraId="148E55B8" w14:textId="77777777" w:rsidR="004156D6" w:rsidRDefault="00000000">
            <w:pPr>
              <w:keepNext/>
              <w:keepLines/>
              <w:spacing w:after="0" w:line="240" w:lineRule="auto"/>
              <w:jc w:val="right"/>
            </w:pPr>
            <w:r>
              <w:rPr>
                <w:sz w:val="18"/>
              </w:rPr>
              <w:t>-</w:t>
            </w:r>
          </w:p>
        </w:tc>
      </w:tr>
      <w:tr w:rsidR="004156D6" w14:paraId="6ED9A172" w14:textId="77777777">
        <w:tblPrEx>
          <w:tblCellMar>
            <w:top w:w="0" w:type="dxa"/>
            <w:bottom w:w="0" w:type="dxa"/>
          </w:tblCellMar>
        </w:tblPrEx>
        <w:trPr>
          <w:cantSplit/>
          <w:trHeight w:val="560"/>
        </w:trPr>
        <w:tc>
          <w:tcPr>
            <w:tcW w:w="700" w:type="dxa"/>
            <w:tcMar>
              <w:top w:w="0" w:type="dxa"/>
              <w:bottom w:w="0" w:type="dxa"/>
            </w:tcMar>
            <w:vAlign w:val="center"/>
          </w:tcPr>
          <w:p w14:paraId="1980255B" w14:textId="77777777" w:rsidR="004156D6" w:rsidRDefault="004156D6">
            <w:pPr>
              <w:keepNext/>
              <w:keepLines/>
              <w:spacing w:after="0" w:line="240" w:lineRule="auto"/>
            </w:pPr>
          </w:p>
        </w:tc>
        <w:tc>
          <w:tcPr>
            <w:tcW w:w="3180" w:type="dxa"/>
            <w:tcMar>
              <w:top w:w="0" w:type="dxa"/>
              <w:bottom w:w="0" w:type="dxa"/>
            </w:tcMar>
            <w:vAlign w:val="center"/>
          </w:tcPr>
          <w:p w14:paraId="6425DA44" w14:textId="77777777" w:rsidR="004156D6"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B33441D" w14:textId="77777777" w:rsidR="004156D6" w:rsidRDefault="00000000">
            <w:pPr>
              <w:keepNext/>
              <w:keepLines/>
              <w:spacing w:after="0" w:line="240" w:lineRule="auto"/>
            </w:pPr>
            <w:r>
              <w:rPr>
                <w:b/>
                <w:sz w:val="18"/>
              </w:rPr>
              <w:t>X003, Y003</w:t>
            </w:r>
          </w:p>
        </w:tc>
        <w:tc>
          <w:tcPr>
            <w:tcW w:w="1860" w:type="dxa"/>
            <w:tcMar>
              <w:top w:w="0" w:type="dxa"/>
              <w:bottom w:w="0" w:type="dxa"/>
            </w:tcMar>
            <w:vAlign w:val="center"/>
          </w:tcPr>
          <w:p w14:paraId="18C8C51C" w14:textId="77777777" w:rsidR="004156D6" w:rsidRDefault="00000000">
            <w:pPr>
              <w:keepNext/>
              <w:keepLines/>
              <w:spacing w:after="0" w:line="240" w:lineRule="auto"/>
              <w:jc w:val="right"/>
            </w:pPr>
            <w:r>
              <w:rPr>
                <w:b/>
                <w:sz w:val="18"/>
              </w:rPr>
              <w:t>0,00</w:t>
            </w:r>
          </w:p>
        </w:tc>
        <w:tc>
          <w:tcPr>
            <w:tcW w:w="1860" w:type="dxa"/>
            <w:tcMar>
              <w:top w:w="0" w:type="dxa"/>
              <w:bottom w:w="0" w:type="dxa"/>
            </w:tcMar>
            <w:vAlign w:val="center"/>
          </w:tcPr>
          <w:p w14:paraId="693E7BF7" w14:textId="77777777" w:rsidR="004156D6" w:rsidRDefault="00000000">
            <w:pPr>
              <w:keepNext/>
              <w:keepLines/>
              <w:spacing w:after="0" w:line="240" w:lineRule="auto"/>
              <w:jc w:val="right"/>
            </w:pPr>
            <w:r>
              <w:rPr>
                <w:b/>
                <w:sz w:val="18"/>
              </w:rPr>
              <w:t>0,00</w:t>
            </w:r>
          </w:p>
        </w:tc>
        <w:tc>
          <w:tcPr>
            <w:tcW w:w="700" w:type="dxa"/>
            <w:tcMar>
              <w:top w:w="0" w:type="dxa"/>
              <w:bottom w:w="0" w:type="dxa"/>
            </w:tcMar>
            <w:vAlign w:val="center"/>
          </w:tcPr>
          <w:p w14:paraId="1D26A6CC" w14:textId="77777777" w:rsidR="004156D6" w:rsidRDefault="00000000">
            <w:pPr>
              <w:keepNext/>
              <w:keepLines/>
              <w:spacing w:after="0" w:line="240" w:lineRule="auto"/>
              <w:jc w:val="right"/>
            </w:pPr>
            <w:r>
              <w:rPr>
                <w:b/>
                <w:sz w:val="18"/>
              </w:rPr>
              <w:t>-</w:t>
            </w:r>
          </w:p>
        </w:tc>
      </w:tr>
      <w:tr w:rsidR="004156D6" w14:paraId="6E0ECC64" w14:textId="77777777">
        <w:tblPrEx>
          <w:tblCellMar>
            <w:top w:w="0" w:type="dxa"/>
            <w:bottom w:w="0" w:type="dxa"/>
          </w:tblCellMar>
        </w:tblPrEx>
        <w:trPr>
          <w:cantSplit/>
          <w:trHeight w:val="560"/>
        </w:trPr>
        <w:tc>
          <w:tcPr>
            <w:tcW w:w="700" w:type="dxa"/>
            <w:tcMar>
              <w:top w:w="0" w:type="dxa"/>
              <w:bottom w:w="0" w:type="dxa"/>
            </w:tcMar>
            <w:vAlign w:val="center"/>
          </w:tcPr>
          <w:p w14:paraId="2E137B3D" w14:textId="77777777" w:rsidR="004156D6" w:rsidRDefault="004156D6">
            <w:pPr>
              <w:keepNext/>
              <w:keepLines/>
              <w:spacing w:after="0" w:line="240" w:lineRule="auto"/>
            </w:pPr>
          </w:p>
        </w:tc>
        <w:tc>
          <w:tcPr>
            <w:tcW w:w="3180" w:type="dxa"/>
            <w:tcMar>
              <w:top w:w="0" w:type="dxa"/>
              <w:bottom w:w="0" w:type="dxa"/>
            </w:tcMar>
            <w:vAlign w:val="center"/>
          </w:tcPr>
          <w:p w14:paraId="3C6BB17F" w14:textId="77777777" w:rsidR="004156D6"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0A8522EA" w14:textId="77777777" w:rsidR="004156D6" w:rsidRDefault="00000000">
            <w:pPr>
              <w:keepNext/>
              <w:keepLines/>
              <w:spacing w:after="0" w:line="240" w:lineRule="auto"/>
            </w:pPr>
            <w:r>
              <w:rPr>
                <w:b/>
                <w:sz w:val="18"/>
              </w:rPr>
              <w:t>Y005</w:t>
            </w:r>
          </w:p>
        </w:tc>
        <w:tc>
          <w:tcPr>
            <w:tcW w:w="1860" w:type="dxa"/>
            <w:tcMar>
              <w:top w:w="0" w:type="dxa"/>
              <w:bottom w:w="0" w:type="dxa"/>
            </w:tcMar>
            <w:vAlign w:val="center"/>
          </w:tcPr>
          <w:p w14:paraId="30993351" w14:textId="77777777" w:rsidR="004156D6" w:rsidRDefault="00000000">
            <w:pPr>
              <w:keepNext/>
              <w:keepLines/>
              <w:spacing w:after="0" w:line="240" w:lineRule="auto"/>
              <w:jc w:val="right"/>
            </w:pPr>
            <w:r>
              <w:rPr>
                <w:b/>
                <w:sz w:val="18"/>
              </w:rPr>
              <w:t>49.111,29</w:t>
            </w:r>
          </w:p>
        </w:tc>
        <w:tc>
          <w:tcPr>
            <w:tcW w:w="1860" w:type="dxa"/>
            <w:tcMar>
              <w:top w:w="0" w:type="dxa"/>
              <w:bottom w:w="0" w:type="dxa"/>
            </w:tcMar>
            <w:vAlign w:val="center"/>
          </w:tcPr>
          <w:p w14:paraId="005268C5" w14:textId="77777777" w:rsidR="004156D6" w:rsidRDefault="00000000">
            <w:pPr>
              <w:keepNext/>
              <w:keepLines/>
              <w:spacing w:after="0" w:line="240" w:lineRule="auto"/>
              <w:jc w:val="right"/>
            </w:pPr>
            <w:r>
              <w:rPr>
                <w:b/>
                <w:sz w:val="18"/>
              </w:rPr>
              <w:t>209.124,40</w:t>
            </w:r>
          </w:p>
        </w:tc>
        <w:tc>
          <w:tcPr>
            <w:tcW w:w="700" w:type="dxa"/>
            <w:tcMar>
              <w:top w:w="0" w:type="dxa"/>
              <w:bottom w:w="0" w:type="dxa"/>
            </w:tcMar>
            <w:vAlign w:val="center"/>
          </w:tcPr>
          <w:p w14:paraId="748A05D6" w14:textId="77777777" w:rsidR="004156D6" w:rsidRDefault="00000000">
            <w:pPr>
              <w:keepNext/>
              <w:keepLines/>
              <w:spacing w:after="0" w:line="240" w:lineRule="auto"/>
              <w:jc w:val="right"/>
            </w:pPr>
            <w:r>
              <w:rPr>
                <w:b/>
                <w:sz w:val="18"/>
              </w:rPr>
              <w:t>425,8</w:t>
            </w:r>
          </w:p>
        </w:tc>
      </w:tr>
    </w:tbl>
    <w:p w14:paraId="48C404E6" w14:textId="77777777" w:rsidR="004156D6" w:rsidRDefault="004156D6">
      <w:pPr>
        <w:spacing w:after="0"/>
      </w:pPr>
    </w:p>
    <w:p w14:paraId="22FCCD0A" w14:textId="77777777" w:rsidR="004156D6" w:rsidRDefault="00000000">
      <w:r>
        <w:t>U ovom izvještajnom razdoblju ostvaren je manjak prihoda i primitaka u iznosu 209.124,40 eura uslijed viška prihoda poslovanja i manjka prihoda od nefinancijske imovine.</w:t>
      </w:r>
    </w:p>
    <w:p w14:paraId="5752B82C" w14:textId="77777777" w:rsidR="004156D6" w:rsidRDefault="00000000">
      <w:r>
        <w:br/>
      </w:r>
    </w:p>
    <w:p w14:paraId="1B704B06" w14:textId="77777777" w:rsidR="004156D6"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266927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FAF341"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52E8CA"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987F8"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A1EEDE"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556FDA"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B0B053" w14:textId="77777777" w:rsidR="004156D6" w:rsidRDefault="00000000">
            <w:pPr>
              <w:keepNext/>
              <w:keepLines/>
              <w:spacing w:after="0" w:line="240" w:lineRule="auto"/>
              <w:jc w:val="center"/>
            </w:pPr>
            <w:r>
              <w:rPr>
                <w:b/>
                <w:sz w:val="18"/>
              </w:rPr>
              <w:t>Indeks (%)</w:t>
            </w:r>
          </w:p>
        </w:tc>
      </w:tr>
      <w:tr w:rsidR="004156D6" w14:paraId="49BE50DE" w14:textId="77777777">
        <w:tblPrEx>
          <w:tblCellMar>
            <w:top w:w="0" w:type="dxa"/>
            <w:bottom w:w="0" w:type="dxa"/>
          </w:tblCellMar>
        </w:tblPrEx>
        <w:trPr>
          <w:cantSplit/>
          <w:trHeight w:val="560"/>
        </w:trPr>
        <w:tc>
          <w:tcPr>
            <w:tcW w:w="700" w:type="dxa"/>
            <w:tcMar>
              <w:top w:w="0" w:type="dxa"/>
              <w:bottom w:w="0" w:type="dxa"/>
            </w:tcMar>
            <w:vAlign w:val="center"/>
          </w:tcPr>
          <w:p w14:paraId="2B1CA25B" w14:textId="77777777" w:rsidR="004156D6" w:rsidRDefault="00000000">
            <w:pPr>
              <w:keepNext/>
              <w:keepLines/>
              <w:spacing w:after="0" w:line="240" w:lineRule="auto"/>
            </w:pPr>
            <w:r>
              <w:rPr>
                <w:sz w:val="18"/>
              </w:rPr>
              <w:t>6</w:t>
            </w:r>
          </w:p>
        </w:tc>
        <w:tc>
          <w:tcPr>
            <w:tcW w:w="3180" w:type="dxa"/>
            <w:tcMar>
              <w:top w:w="0" w:type="dxa"/>
              <w:bottom w:w="0" w:type="dxa"/>
            </w:tcMar>
            <w:vAlign w:val="center"/>
          </w:tcPr>
          <w:p w14:paraId="048D3C87" w14:textId="77777777" w:rsidR="004156D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957B4C0" w14:textId="77777777" w:rsidR="004156D6" w:rsidRDefault="00000000">
            <w:pPr>
              <w:keepNext/>
              <w:keepLines/>
              <w:spacing w:after="0" w:line="240" w:lineRule="auto"/>
            </w:pPr>
            <w:r>
              <w:rPr>
                <w:sz w:val="18"/>
              </w:rPr>
              <w:t>6</w:t>
            </w:r>
          </w:p>
        </w:tc>
        <w:tc>
          <w:tcPr>
            <w:tcW w:w="1860" w:type="dxa"/>
            <w:tcMar>
              <w:top w:w="0" w:type="dxa"/>
              <w:bottom w:w="0" w:type="dxa"/>
            </w:tcMar>
            <w:vAlign w:val="center"/>
          </w:tcPr>
          <w:p w14:paraId="74BDFBF2" w14:textId="77777777" w:rsidR="004156D6" w:rsidRDefault="00000000">
            <w:pPr>
              <w:keepNext/>
              <w:keepLines/>
              <w:spacing w:after="0" w:line="240" w:lineRule="auto"/>
              <w:jc w:val="right"/>
            </w:pPr>
            <w:r>
              <w:rPr>
                <w:sz w:val="18"/>
              </w:rPr>
              <w:t>920.358,34</w:t>
            </w:r>
          </w:p>
        </w:tc>
        <w:tc>
          <w:tcPr>
            <w:tcW w:w="1860" w:type="dxa"/>
            <w:tcMar>
              <w:top w:w="0" w:type="dxa"/>
              <w:bottom w:w="0" w:type="dxa"/>
            </w:tcMar>
            <w:vAlign w:val="center"/>
          </w:tcPr>
          <w:p w14:paraId="377756B8" w14:textId="77777777" w:rsidR="004156D6" w:rsidRDefault="00000000">
            <w:pPr>
              <w:keepNext/>
              <w:keepLines/>
              <w:spacing w:after="0" w:line="240" w:lineRule="auto"/>
              <w:jc w:val="right"/>
            </w:pPr>
            <w:r>
              <w:rPr>
                <w:sz w:val="18"/>
              </w:rPr>
              <w:t>1.191.683,47</w:t>
            </w:r>
          </w:p>
        </w:tc>
        <w:tc>
          <w:tcPr>
            <w:tcW w:w="700" w:type="dxa"/>
            <w:tcMar>
              <w:top w:w="0" w:type="dxa"/>
              <w:bottom w:w="0" w:type="dxa"/>
            </w:tcMar>
            <w:vAlign w:val="center"/>
          </w:tcPr>
          <w:p w14:paraId="7846A895" w14:textId="77777777" w:rsidR="004156D6" w:rsidRDefault="00000000">
            <w:pPr>
              <w:keepNext/>
              <w:keepLines/>
              <w:spacing w:after="0" w:line="240" w:lineRule="auto"/>
              <w:jc w:val="right"/>
            </w:pPr>
            <w:r>
              <w:rPr>
                <w:sz w:val="18"/>
              </w:rPr>
              <w:t>129,5</w:t>
            </w:r>
          </w:p>
        </w:tc>
      </w:tr>
    </w:tbl>
    <w:p w14:paraId="25312E7D" w14:textId="77777777" w:rsidR="004156D6" w:rsidRDefault="004156D6">
      <w:pPr>
        <w:spacing w:after="0"/>
      </w:pPr>
    </w:p>
    <w:p w14:paraId="6AD14314" w14:textId="77777777" w:rsidR="004156D6" w:rsidRDefault="00000000">
      <w:r>
        <w:t>Povećanje od 29,5% u odnosu na izvještajno razdoblje prethodne godine rezultat je povećanih tekućih i kapitalnih pomoći iz državnog proračuna,  povećanih prihoda po posebnim propisima, povećanih prihoda od pruženih usluga te povećanih prihoda iz nadležnog proračuna za financiranje rashoda poslovanja i rashoda za nabavu nefinancijske imovine.</w:t>
      </w:r>
    </w:p>
    <w:p w14:paraId="79075604" w14:textId="77777777" w:rsidR="004156D6" w:rsidRDefault="004156D6"/>
    <w:p w14:paraId="297BCC1E" w14:textId="77777777" w:rsidR="004156D6"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64D944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526DB3"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47147D"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E9DC8B"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BEB83B"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AE9376"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5C0284" w14:textId="77777777" w:rsidR="004156D6" w:rsidRDefault="00000000">
            <w:pPr>
              <w:keepNext/>
              <w:keepLines/>
              <w:spacing w:after="0" w:line="240" w:lineRule="auto"/>
              <w:jc w:val="center"/>
            </w:pPr>
            <w:r>
              <w:rPr>
                <w:b/>
                <w:sz w:val="18"/>
              </w:rPr>
              <w:t>Indeks (%)</w:t>
            </w:r>
          </w:p>
        </w:tc>
      </w:tr>
      <w:tr w:rsidR="004156D6" w14:paraId="4791EBC3" w14:textId="77777777">
        <w:tblPrEx>
          <w:tblCellMar>
            <w:top w:w="0" w:type="dxa"/>
            <w:bottom w:w="0" w:type="dxa"/>
          </w:tblCellMar>
        </w:tblPrEx>
        <w:trPr>
          <w:cantSplit/>
          <w:trHeight w:val="560"/>
        </w:trPr>
        <w:tc>
          <w:tcPr>
            <w:tcW w:w="700" w:type="dxa"/>
            <w:tcMar>
              <w:top w:w="0" w:type="dxa"/>
              <w:bottom w:w="0" w:type="dxa"/>
            </w:tcMar>
            <w:vAlign w:val="center"/>
          </w:tcPr>
          <w:p w14:paraId="7E16F548" w14:textId="77777777" w:rsidR="004156D6" w:rsidRDefault="00000000">
            <w:pPr>
              <w:keepNext/>
              <w:keepLines/>
              <w:spacing w:after="0" w:line="240" w:lineRule="auto"/>
            </w:pPr>
            <w:r>
              <w:rPr>
                <w:sz w:val="18"/>
              </w:rPr>
              <w:t>6361</w:t>
            </w:r>
          </w:p>
        </w:tc>
        <w:tc>
          <w:tcPr>
            <w:tcW w:w="3180" w:type="dxa"/>
            <w:tcMar>
              <w:top w:w="0" w:type="dxa"/>
              <w:bottom w:w="0" w:type="dxa"/>
            </w:tcMar>
            <w:vAlign w:val="center"/>
          </w:tcPr>
          <w:p w14:paraId="51CCD732" w14:textId="77777777" w:rsidR="004156D6"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3A6885BC" w14:textId="77777777" w:rsidR="004156D6" w:rsidRDefault="00000000">
            <w:pPr>
              <w:keepNext/>
              <w:keepLines/>
              <w:spacing w:after="0" w:line="240" w:lineRule="auto"/>
            </w:pPr>
            <w:r>
              <w:rPr>
                <w:sz w:val="18"/>
              </w:rPr>
              <w:t>6361</w:t>
            </w:r>
          </w:p>
        </w:tc>
        <w:tc>
          <w:tcPr>
            <w:tcW w:w="1860" w:type="dxa"/>
            <w:tcMar>
              <w:top w:w="0" w:type="dxa"/>
              <w:bottom w:w="0" w:type="dxa"/>
            </w:tcMar>
            <w:vAlign w:val="center"/>
          </w:tcPr>
          <w:p w14:paraId="56DF5EB4" w14:textId="77777777" w:rsidR="004156D6" w:rsidRDefault="00000000">
            <w:pPr>
              <w:keepNext/>
              <w:keepLines/>
              <w:spacing w:after="0" w:line="240" w:lineRule="auto"/>
              <w:jc w:val="right"/>
            </w:pPr>
            <w:r>
              <w:rPr>
                <w:sz w:val="18"/>
              </w:rPr>
              <w:t>85.630,99</w:t>
            </w:r>
          </w:p>
        </w:tc>
        <w:tc>
          <w:tcPr>
            <w:tcW w:w="1860" w:type="dxa"/>
            <w:tcMar>
              <w:top w:w="0" w:type="dxa"/>
              <w:bottom w:w="0" w:type="dxa"/>
            </w:tcMar>
            <w:vAlign w:val="center"/>
          </w:tcPr>
          <w:p w14:paraId="5240FE53" w14:textId="77777777" w:rsidR="004156D6" w:rsidRDefault="00000000">
            <w:pPr>
              <w:keepNext/>
              <w:keepLines/>
              <w:spacing w:after="0" w:line="240" w:lineRule="auto"/>
              <w:jc w:val="right"/>
            </w:pPr>
            <w:r>
              <w:rPr>
                <w:sz w:val="18"/>
              </w:rPr>
              <w:t>120.539,50</w:t>
            </w:r>
          </w:p>
        </w:tc>
        <w:tc>
          <w:tcPr>
            <w:tcW w:w="700" w:type="dxa"/>
            <w:tcMar>
              <w:top w:w="0" w:type="dxa"/>
              <w:bottom w:w="0" w:type="dxa"/>
            </w:tcMar>
            <w:vAlign w:val="center"/>
          </w:tcPr>
          <w:p w14:paraId="22699550" w14:textId="77777777" w:rsidR="004156D6" w:rsidRDefault="00000000">
            <w:pPr>
              <w:keepNext/>
              <w:keepLines/>
              <w:spacing w:after="0" w:line="240" w:lineRule="auto"/>
              <w:jc w:val="right"/>
            </w:pPr>
            <w:r>
              <w:rPr>
                <w:sz w:val="18"/>
              </w:rPr>
              <w:t>140,8</w:t>
            </w:r>
          </w:p>
        </w:tc>
      </w:tr>
    </w:tbl>
    <w:p w14:paraId="440E7F8A" w14:textId="77777777" w:rsidR="004156D6" w:rsidRDefault="004156D6">
      <w:pPr>
        <w:spacing w:after="0"/>
      </w:pPr>
    </w:p>
    <w:p w14:paraId="7B3FB9F4" w14:textId="77777777" w:rsidR="004156D6" w:rsidRDefault="00000000">
      <w:r>
        <w:t>Povećanje prihoda za 40,8% u odnosu na izvještajno razdoblje prethodne godine odnosi se na uplaćene prihode za 11 odobrenih programa od strane Ministarstva kulture i medija u iznosu od 100.539,50 EUR i na uplaćene prihode od Grada Vodica u iznosu od 20.000,00 EUR.</w:t>
      </w:r>
    </w:p>
    <w:p w14:paraId="56CDCA43" w14:textId="77777777" w:rsidR="004156D6" w:rsidRDefault="004156D6"/>
    <w:p w14:paraId="2FD559A9" w14:textId="77777777" w:rsidR="004156D6"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4802C1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DD82C3"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EE2891"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96FF38"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C9D831"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77A944"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A56AE6" w14:textId="77777777" w:rsidR="004156D6" w:rsidRDefault="00000000">
            <w:pPr>
              <w:keepNext/>
              <w:keepLines/>
              <w:spacing w:after="0" w:line="240" w:lineRule="auto"/>
              <w:jc w:val="center"/>
            </w:pPr>
            <w:r>
              <w:rPr>
                <w:b/>
                <w:sz w:val="18"/>
              </w:rPr>
              <w:t>Indeks (%)</w:t>
            </w:r>
          </w:p>
        </w:tc>
      </w:tr>
      <w:tr w:rsidR="004156D6" w14:paraId="4452DB94" w14:textId="77777777">
        <w:tblPrEx>
          <w:tblCellMar>
            <w:top w:w="0" w:type="dxa"/>
            <w:bottom w:w="0" w:type="dxa"/>
          </w:tblCellMar>
        </w:tblPrEx>
        <w:trPr>
          <w:cantSplit/>
          <w:trHeight w:val="560"/>
        </w:trPr>
        <w:tc>
          <w:tcPr>
            <w:tcW w:w="700" w:type="dxa"/>
            <w:tcMar>
              <w:top w:w="0" w:type="dxa"/>
              <w:bottom w:w="0" w:type="dxa"/>
            </w:tcMar>
            <w:vAlign w:val="center"/>
          </w:tcPr>
          <w:p w14:paraId="2CBA1ACA" w14:textId="77777777" w:rsidR="004156D6" w:rsidRDefault="00000000">
            <w:pPr>
              <w:keepNext/>
              <w:keepLines/>
              <w:spacing w:after="0" w:line="240" w:lineRule="auto"/>
            </w:pPr>
            <w:r>
              <w:rPr>
                <w:sz w:val="18"/>
              </w:rPr>
              <w:t>6362</w:t>
            </w:r>
          </w:p>
        </w:tc>
        <w:tc>
          <w:tcPr>
            <w:tcW w:w="3180" w:type="dxa"/>
            <w:tcMar>
              <w:top w:w="0" w:type="dxa"/>
              <w:bottom w:w="0" w:type="dxa"/>
            </w:tcMar>
            <w:vAlign w:val="center"/>
          </w:tcPr>
          <w:p w14:paraId="7AA294BD" w14:textId="77777777" w:rsidR="004156D6"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4A31234D" w14:textId="77777777" w:rsidR="004156D6" w:rsidRDefault="00000000">
            <w:pPr>
              <w:keepNext/>
              <w:keepLines/>
              <w:spacing w:after="0" w:line="240" w:lineRule="auto"/>
            </w:pPr>
            <w:r>
              <w:rPr>
                <w:sz w:val="18"/>
              </w:rPr>
              <w:t>6362</w:t>
            </w:r>
          </w:p>
        </w:tc>
        <w:tc>
          <w:tcPr>
            <w:tcW w:w="1860" w:type="dxa"/>
            <w:tcMar>
              <w:top w:w="0" w:type="dxa"/>
              <w:bottom w:w="0" w:type="dxa"/>
            </w:tcMar>
            <w:vAlign w:val="center"/>
          </w:tcPr>
          <w:p w14:paraId="5A241890" w14:textId="77777777" w:rsidR="004156D6" w:rsidRDefault="00000000">
            <w:pPr>
              <w:keepNext/>
              <w:keepLines/>
              <w:spacing w:after="0" w:line="240" w:lineRule="auto"/>
              <w:jc w:val="right"/>
            </w:pPr>
            <w:r>
              <w:rPr>
                <w:sz w:val="18"/>
              </w:rPr>
              <w:t>100.000,00</w:t>
            </w:r>
          </w:p>
        </w:tc>
        <w:tc>
          <w:tcPr>
            <w:tcW w:w="1860" w:type="dxa"/>
            <w:tcMar>
              <w:top w:w="0" w:type="dxa"/>
              <w:bottom w:w="0" w:type="dxa"/>
            </w:tcMar>
            <w:vAlign w:val="center"/>
          </w:tcPr>
          <w:p w14:paraId="35CF331D" w14:textId="77777777" w:rsidR="004156D6" w:rsidRDefault="00000000">
            <w:pPr>
              <w:keepNext/>
              <w:keepLines/>
              <w:spacing w:after="0" w:line="240" w:lineRule="auto"/>
              <w:jc w:val="right"/>
            </w:pPr>
            <w:r>
              <w:rPr>
                <w:sz w:val="18"/>
              </w:rPr>
              <w:t>200.000,00</w:t>
            </w:r>
          </w:p>
        </w:tc>
        <w:tc>
          <w:tcPr>
            <w:tcW w:w="700" w:type="dxa"/>
            <w:tcMar>
              <w:top w:w="0" w:type="dxa"/>
              <w:bottom w:w="0" w:type="dxa"/>
            </w:tcMar>
            <w:vAlign w:val="center"/>
          </w:tcPr>
          <w:p w14:paraId="68E8C177" w14:textId="77777777" w:rsidR="004156D6" w:rsidRDefault="00000000">
            <w:pPr>
              <w:keepNext/>
              <w:keepLines/>
              <w:spacing w:after="0" w:line="240" w:lineRule="auto"/>
              <w:jc w:val="right"/>
            </w:pPr>
            <w:r>
              <w:rPr>
                <w:sz w:val="18"/>
              </w:rPr>
              <w:t>200</w:t>
            </w:r>
          </w:p>
        </w:tc>
      </w:tr>
    </w:tbl>
    <w:p w14:paraId="39BEA571" w14:textId="77777777" w:rsidR="004156D6" w:rsidRDefault="004156D6">
      <w:pPr>
        <w:spacing w:after="0"/>
      </w:pPr>
    </w:p>
    <w:p w14:paraId="61DDB05F" w14:textId="77777777" w:rsidR="004156D6" w:rsidRDefault="00000000">
      <w:r>
        <w:t>Povećanje kapitalnih pomoći od 200% u odnosu na izvještajno razdoblje prethodne godine odnosi se na uplaćene prihode od strane Ministarstva kulture i medija za kapitalni projekt Stalni postav Muzeja grada Šibenika.</w:t>
      </w:r>
    </w:p>
    <w:p w14:paraId="10C421ED" w14:textId="77777777" w:rsidR="004156D6" w:rsidRDefault="004156D6"/>
    <w:p w14:paraId="4F564CC6" w14:textId="77777777" w:rsidR="004156D6"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1EBB86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CC334D"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D8F5FB"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614BF8"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AC1BE6"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B70B61"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3C48A4" w14:textId="77777777" w:rsidR="004156D6" w:rsidRDefault="00000000">
            <w:pPr>
              <w:keepNext/>
              <w:keepLines/>
              <w:spacing w:after="0" w:line="240" w:lineRule="auto"/>
              <w:jc w:val="center"/>
            </w:pPr>
            <w:r>
              <w:rPr>
                <w:b/>
                <w:sz w:val="18"/>
              </w:rPr>
              <w:t>Indeks (%)</w:t>
            </w:r>
          </w:p>
        </w:tc>
      </w:tr>
      <w:tr w:rsidR="004156D6" w14:paraId="1110F2B8" w14:textId="77777777">
        <w:tblPrEx>
          <w:tblCellMar>
            <w:top w:w="0" w:type="dxa"/>
            <w:bottom w:w="0" w:type="dxa"/>
          </w:tblCellMar>
        </w:tblPrEx>
        <w:trPr>
          <w:cantSplit/>
          <w:trHeight w:val="560"/>
        </w:trPr>
        <w:tc>
          <w:tcPr>
            <w:tcW w:w="700" w:type="dxa"/>
            <w:tcMar>
              <w:top w:w="0" w:type="dxa"/>
              <w:bottom w:w="0" w:type="dxa"/>
            </w:tcMar>
            <w:vAlign w:val="center"/>
          </w:tcPr>
          <w:p w14:paraId="1B30E4BD" w14:textId="77777777" w:rsidR="004156D6" w:rsidRDefault="00000000">
            <w:pPr>
              <w:keepNext/>
              <w:keepLines/>
              <w:spacing w:after="0" w:line="240" w:lineRule="auto"/>
            </w:pPr>
            <w:r>
              <w:rPr>
                <w:sz w:val="18"/>
              </w:rPr>
              <w:t>6381</w:t>
            </w:r>
          </w:p>
        </w:tc>
        <w:tc>
          <w:tcPr>
            <w:tcW w:w="3180" w:type="dxa"/>
            <w:tcMar>
              <w:top w:w="0" w:type="dxa"/>
              <w:bottom w:w="0" w:type="dxa"/>
            </w:tcMar>
            <w:vAlign w:val="center"/>
          </w:tcPr>
          <w:p w14:paraId="3DC3D916" w14:textId="77777777" w:rsidR="004156D6"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1D6C0433" w14:textId="77777777" w:rsidR="004156D6" w:rsidRDefault="00000000">
            <w:pPr>
              <w:keepNext/>
              <w:keepLines/>
              <w:spacing w:after="0" w:line="240" w:lineRule="auto"/>
            </w:pPr>
            <w:r>
              <w:rPr>
                <w:sz w:val="18"/>
              </w:rPr>
              <w:t>6381</w:t>
            </w:r>
          </w:p>
        </w:tc>
        <w:tc>
          <w:tcPr>
            <w:tcW w:w="1860" w:type="dxa"/>
            <w:tcMar>
              <w:top w:w="0" w:type="dxa"/>
              <w:bottom w:w="0" w:type="dxa"/>
            </w:tcMar>
            <w:vAlign w:val="center"/>
          </w:tcPr>
          <w:p w14:paraId="53E9DEE2" w14:textId="77777777" w:rsidR="004156D6" w:rsidRDefault="00000000">
            <w:pPr>
              <w:keepNext/>
              <w:keepLines/>
              <w:spacing w:after="0" w:line="240" w:lineRule="auto"/>
              <w:jc w:val="right"/>
            </w:pPr>
            <w:r>
              <w:rPr>
                <w:sz w:val="18"/>
              </w:rPr>
              <w:t>394,00</w:t>
            </w:r>
          </w:p>
        </w:tc>
        <w:tc>
          <w:tcPr>
            <w:tcW w:w="1860" w:type="dxa"/>
            <w:tcMar>
              <w:top w:w="0" w:type="dxa"/>
              <w:bottom w:w="0" w:type="dxa"/>
            </w:tcMar>
            <w:vAlign w:val="center"/>
          </w:tcPr>
          <w:p w14:paraId="4E187372" w14:textId="77777777" w:rsidR="004156D6" w:rsidRDefault="00000000">
            <w:pPr>
              <w:keepNext/>
              <w:keepLines/>
              <w:spacing w:after="0" w:line="240" w:lineRule="auto"/>
              <w:jc w:val="right"/>
            </w:pPr>
            <w:r>
              <w:rPr>
                <w:sz w:val="18"/>
              </w:rPr>
              <w:t>5.431,03</w:t>
            </w:r>
          </w:p>
        </w:tc>
        <w:tc>
          <w:tcPr>
            <w:tcW w:w="700" w:type="dxa"/>
            <w:tcMar>
              <w:top w:w="0" w:type="dxa"/>
              <w:bottom w:w="0" w:type="dxa"/>
            </w:tcMar>
            <w:vAlign w:val="center"/>
          </w:tcPr>
          <w:p w14:paraId="1B11B31C" w14:textId="77777777" w:rsidR="004156D6" w:rsidRDefault="00000000">
            <w:pPr>
              <w:keepNext/>
              <w:keepLines/>
              <w:spacing w:after="0" w:line="240" w:lineRule="auto"/>
              <w:jc w:val="right"/>
            </w:pPr>
            <w:r>
              <w:rPr>
                <w:sz w:val="18"/>
              </w:rPr>
              <w:t>1378,4</w:t>
            </w:r>
          </w:p>
        </w:tc>
      </w:tr>
    </w:tbl>
    <w:p w14:paraId="523C4380" w14:textId="77777777" w:rsidR="004156D6" w:rsidRDefault="004156D6">
      <w:pPr>
        <w:spacing w:after="0"/>
      </w:pPr>
    </w:p>
    <w:p w14:paraId="6CF66A5A" w14:textId="77777777" w:rsidR="004156D6" w:rsidRDefault="00000000">
      <w:r>
        <w:lastRenderedPageBreak/>
        <w:t>Povećanje  od 1.278,40% u odnosu na prethodno izvještajno razdoblje odnosi se na uplaćena sredstva za projekt Erasmus+ i  na uplate po ZNS-ovima za projekt Energetska obnova Muzeja grada Šibenika ( za rashode plaće administrativne koordinatorice).</w:t>
      </w:r>
    </w:p>
    <w:p w14:paraId="445AEB44" w14:textId="77777777" w:rsidR="004156D6" w:rsidRDefault="004156D6"/>
    <w:p w14:paraId="6F00712F" w14:textId="77777777" w:rsidR="004156D6"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0CEA78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02FDF9"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D63ADC"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9CD813"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1A15B1"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BED109"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6626C6" w14:textId="77777777" w:rsidR="004156D6" w:rsidRDefault="00000000">
            <w:pPr>
              <w:keepNext/>
              <w:keepLines/>
              <w:spacing w:after="0" w:line="240" w:lineRule="auto"/>
              <w:jc w:val="center"/>
            </w:pPr>
            <w:r>
              <w:rPr>
                <w:b/>
                <w:sz w:val="18"/>
              </w:rPr>
              <w:t>Indeks (%)</w:t>
            </w:r>
          </w:p>
        </w:tc>
      </w:tr>
      <w:tr w:rsidR="004156D6" w14:paraId="397C1A11" w14:textId="77777777">
        <w:tblPrEx>
          <w:tblCellMar>
            <w:top w:w="0" w:type="dxa"/>
            <w:bottom w:w="0" w:type="dxa"/>
          </w:tblCellMar>
        </w:tblPrEx>
        <w:trPr>
          <w:cantSplit/>
          <w:trHeight w:val="560"/>
        </w:trPr>
        <w:tc>
          <w:tcPr>
            <w:tcW w:w="700" w:type="dxa"/>
            <w:tcMar>
              <w:top w:w="0" w:type="dxa"/>
              <w:bottom w:w="0" w:type="dxa"/>
            </w:tcMar>
            <w:vAlign w:val="center"/>
          </w:tcPr>
          <w:p w14:paraId="1A173F34" w14:textId="77777777" w:rsidR="004156D6" w:rsidRDefault="00000000">
            <w:pPr>
              <w:keepNext/>
              <w:keepLines/>
              <w:spacing w:after="0" w:line="240" w:lineRule="auto"/>
            </w:pPr>
            <w:r>
              <w:rPr>
                <w:sz w:val="18"/>
              </w:rPr>
              <w:t>6382</w:t>
            </w:r>
          </w:p>
        </w:tc>
        <w:tc>
          <w:tcPr>
            <w:tcW w:w="3180" w:type="dxa"/>
            <w:tcMar>
              <w:top w:w="0" w:type="dxa"/>
              <w:bottom w:w="0" w:type="dxa"/>
            </w:tcMar>
            <w:vAlign w:val="center"/>
          </w:tcPr>
          <w:p w14:paraId="08E07E11" w14:textId="77777777" w:rsidR="004156D6"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2751134A" w14:textId="77777777" w:rsidR="004156D6" w:rsidRDefault="00000000">
            <w:pPr>
              <w:keepNext/>
              <w:keepLines/>
              <w:spacing w:after="0" w:line="240" w:lineRule="auto"/>
            </w:pPr>
            <w:r>
              <w:rPr>
                <w:sz w:val="18"/>
              </w:rPr>
              <w:t>6382</w:t>
            </w:r>
          </w:p>
        </w:tc>
        <w:tc>
          <w:tcPr>
            <w:tcW w:w="1860" w:type="dxa"/>
            <w:tcMar>
              <w:top w:w="0" w:type="dxa"/>
              <w:bottom w:w="0" w:type="dxa"/>
            </w:tcMar>
            <w:vAlign w:val="center"/>
          </w:tcPr>
          <w:p w14:paraId="6C5DD1CD" w14:textId="77777777" w:rsidR="004156D6" w:rsidRDefault="00000000">
            <w:pPr>
              <w:keepNext/>
              <w:keepLines/>
              <w:spacing w:after="0" w:line="240" w:lineRule="auto"/>
              <w:jc w:val="right"/>
            </w:pPr>
            <w:r>
              <w:rPr>
                <w:sz w:val="18"/>
              </w:rPr>
              <w:t>32.625,00</w:t>
            </w:r>
          </w:p>
        </w:tc>
        <w:tc>
          <w:tcPr>
            <w:tcW w:w="1860" w:type="dxa"/>
            <w:tcMar>
              <w:top w:w="0" w:type="dxa"/>
              <w:bottom w:w="0" w:type="dxa"/>
            </w:tcMar>
            <w:vAlign w:val="center"/>
          </w:tcPr>
          <w:p w14:paraId="66469018" w14:textId="77777777" w:rsidR="004156D6" w:rsidRDefault="00000000">
            <w:pPr>
              <w:keepNext/>
              <w:keepLines/>
              <w:spacing w:after="0" w:line="240" w:lineRule="auto"/>
              <w:jc w:val="right"/>
            </w:pPr>
            <w:r>
              <w:rPr>
                <w:sz w:val="18"/>
              </w:rPr>
              <w:t>0,00</w:t>
            </w:r>
          </w:p>
        </w:tc>
        <w:tc>
          <w:tcPr>
            <w:tcW w:w="700" w:type="dxa"/>
            <w:tcMar>
              <w:top w:w="0" w:type="dxa"/>
              <w:bottom w:w="0" w:type="dxa"/>
            </w:tcMar>
            <w:vAlign w:val="center"/>
          </w:tcPr>
          <w:p w14:paraId="3C12D4D7" w14:textId="77777777" w:rsidR="004156D6" w:rsidRDefault="00000000">
            <w:pPr>
              <w:keepNext/>
              <w:keepLines/>
              <w:spacing w:after="0" w:line="240" w:lineRule="auto"/>
              <w:jc w:val="right"/>
            </w:pPr>
            <w:r>
              <w:rPr>
                <w:sz w:val="18"/>
              </w:rPr>
              <w:t>0</w:t>
            </w:r>
          </w:p>
        </w:tc>
      </w:tr>
    </w:tbl>
    <w:p w14:paraId="6900CF79" w14:textId="77777777" w:rsidR="004156D6" w:rsidRDefault="004156D6">
      <w:pPr>
        <w:spacing w:after="0"/>
      </w:pPr>
    </w:p>
    <w:p w14:paraId="5F2431DE" w14:textId="77777777" w:rsidR="004156D6" w:rsidRDefault="00000000">
      <w:r>
        <w:t>U odnosu na prethodno izvještajno razdoblje, u ovom izvještajnom razdoblju nemamo uplaćene kapitalne pomoći temeljem prijenosa EU sredstava.</w:t>
      </w:r>
    </w:p>
    <w:p w14:paraId="0A99F47C" w14:textId="77777777" w:rsidR="004156D6" w:rsidRDefault="004156D6"/>
    <w:p w14:paraId="4F44DC90" w14:textId="77777777" w:rsidR="004156D6"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648CED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CE5DE6"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F51560"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41CF07"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B0207F"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DBA9FC"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152082" w14:textId="77777777" w:rsidR="004156D6" w:rsidRDefault="00000000">
            <w:pPr>
              <w:keepNext/>
              <w:keepLines/>
              <w:spacing w:after="0" w:line="240" w:lineRule="auto"/>
              <w:jc w:val="center"/>
            </w:pPr>
            <w:r>
              <w:rPr>
                <w:b/>
                <w:sz w:val="18"/>
              </w:rPr>
              <w:t>Indeks (%)</w:t>
            </w:r>
          </w:p>
        </w:tc>
      </w:tr>
      <w:tr w:rsidR="004156D6" w14:paraId="5390A76A" w14:textId="77777777">
        <w:tblPrEx>
          <w:tblCellMar>
            <w:top w:w="0" w:type="dxa"/>
            <w:bottom w:w="0" w:type="dxa"/>
          </w:tblCellMar>
        </w:tblPrEx>
        <w:trPr>
          <w:cantSplit/>
          <w:trHeight w:val="560"/>
        </w:trPr>
        <w:tc>
          <w:tcPr>
            <w:tcW w:w="700" w:type="dxa"/>
            <w:tcMar>
              <w:top w:w="0" w:type="dxa"/>
              <w:bottom w:w="0" w:type="dxa"/>
            </w:tcMar>
            <w:vAlign w:val="center"/>
          </w:tcPr>
          <w:p w14:paraId="0D85CBA7" w14:textId="77777777" w:rsidR="004156D6" w:rsidRDefault="00000000">
            <w:pPr>
              <w:keepNext/>
              <w:keepLines/>
              <w:spacing w:after="0" w:line="240" w:lineRule="auto"/>
            </w:pPr>
            <w:r>
              <w:rPr>
                <w:sz w:val="18"/>
              </w:rPr>
              <w:t>65</w:t>
            </w:r>
          </w:p>
        </w:tc>
        <w:tc>
          <w:tcPr>
            <w:tcW w:w="3180" w:type="dxa"/>
            <w:tcMar>
              <w:top w:w="0" w:type="dxa"/>
              <w:bottom w:w="0" w:type="dxa"/>
            </w:tcMar>
            <w:vAlign w:val="center"/>
          </w:tcPr>
          <w:p w14:paraId="60E2910B" w14:textId="77777777" w:rsidR="004156D6"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6EE348DB" w14:textId="77777777" w:rsidR="004156D6" w:rsidRDefault="00000000">
            <w:pPr>
              <w:keepNext/>
              <w:keepLines/>
              <w:spacing w:after="0" w:line="240" w:lineRule="auto"/>
            </w:pPr>
            <w:r>
              <w:rPr>
                <w:sz w:val="18"/>
              </w:rPr>
              <w:t>65</w:t>
            </w:r>
          </w:p>
        </w:tc>
        <w:tc>
          <w:tcPr>
            <w:tcW w:w="1860" w:type="dxa"/>
            <w:tcMar>
              <w:top w:w="0" w:type="dxa"/>
              <w:bottom w:w="0" w:type="dxa"/>
            </w:tcMar>
            <w:vAlign w:val="center"/>
          </w:tcPr>
          <w:p w14:paraId="206EEF0C" w14:textId="77777777" w:rsidR="004156D6" w:rsidRDefault="00000000">
            <w:pPr>
              <w:keepNext/>
              <w:keepLines/>
              <w:spacing w:after="0" w:line="240" w:lineRule="auto"/>
              <w:jc w:val="right"/>
            </w:pPr>
            <w:r>
              <w:rPr>
                <w:sz w:val="18"/>
              </w:rPr>
              <w:t>6.239,90</w:t>
            </w:r>
          </w:p>
        </w:tc>
        <w:tc>
          <w:tcPr>
            <w:tcW w:w="1860" w:type="dxa"/>
            <w:tcMar>
              <w:top w:w="0" w:type="dxa"/>
              <w:bottom w:w="0" w:type="dxa"/>
            </w:tcMar>
            <w:vAlign w:val="center"/>
          </w:tcPr>
          <w:p w14:paraId="5AD57201" w14:textId="77777777" w:rsidR="004156D6" w:rsidRDefault="00000000">
            <w:pPr>
              <w:keepNext/>
              <w:keepLines/>
              <w:spacing w:after="0" w:line="240" w:lineRule="auto"/>
              <w:jc w:val="right"/>
            </w:pPr>
            <w:r>
              <w:rPr>
                <w:sz w:val="18"/>
              </w:rPr>
              <w:t>7.949,10</w:t>
            </w:r>
          </w:p>
        </w:tc>
        <w:tc>
          <w:tcPr>
            <w:tcW w:w="700" w:type="dxa"/>
            <w:tcMar>
              <w:top w:w="0" w:type="dxa"/>
              <w:bottom w:w="0" w:type="dxa"/>
            </w:tcMar>
            <w:vAlign w:val="center"/>
          </w:tcPr>
          <w:p w14:paraId="4983779D" w14:textId="77777777" w:rsidR="004156D6" w:rsidRDefault="00000000">
            <w:pPr>
              <w:keepNext/>
              <w:keepLines/>
              <w:spacing w:after="0" w:line="240" w:lineRule="auto"/>
              <w:jc w:val="right"/>
            </w:pPr>
            <w:r>
              <w:rPr>
                <w:sz w:val="18"/>
              </w:rPr>
              <w:t>127,4</w:t>
            </w:r>
          </w:p>
        </w:tc>
      </w:tr>
    </w:tbl>
    <w:p w14:paraId="6F735E21" w14:textId="77777777" w:rsidR="004156D6" w:rsidRDefault="004156D6">
      <w:pPr>
        <w:spacing w:after="0"/>
      </w:pPr>
    </w:p>
    <w:p w14:paraId="37EF02E9" w14:textId="77777777" w:rsidR="004156D6" w:rsidRDefault="00000000">
      <w:r>
        <w:t>Povećanje od 27,4% u odnosu na izvještajno razdoblje prethodne godine odnosi se na povećane ostale nespomenute prihode (prihodi od prodanih ulaznica za Stalni postav Muzeja).</w:t>
      </w:r>
    </w:p>
    <w:p w14:paraId="674F8646" w14:textId="77777777" w:rsidR="004156D6" w:rsidRDefault="004156D6"/>
    <w:p w14:paraId="70DF1F44" w14:textId="77777777" w:rsidR="004156D6"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25018E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BF6CDD"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C0292F"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F8D42D"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F0B5F7"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81829F"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7CE8F2" w14:textId="77777777" w:rsidR="004156D6" w:rsidRDefault="00000000">
            <w:pPr>
              <w:keepNext/>
              <w:keepLines/>
              <w:spacing w:after="0" w:line="240" w:lineRule="auto"/>
              <w:jc w:val="center"/>
            </w:pPr>
            <w:r>
              <w:rPr>
                <w:b/>
                <w:sz w:val="18"/>
              </w:rPr>
              <w:t>Indeks (%)</w:t>
            </w:r>
          </w:p>
        </w:tc>
      </w:tr>
      <w:tr w:rsidR="004156D6" w14:paraId="3B1484A3" w14:textId="77777777">
        <w:tblPrEx>
          <w:tblCellMar>
            <w:top w:w="0" w:type="dxa"/>
            <w:bottom w:w="0" w:type="dxa"/>
          </w:tblCellMar>
        </w:tblPrEx>
        <w:trPr>
          <w:cantSplit/>
          <w:trHeight w:val="560"/>
        </w:trPr>
        <w:tc>
          <w:tcPr>
            <w:tcW w:w="700" w:type="dxa"/>
            <w:tcMar>
              <w:top w:w="0" w:type="dxa"/>
              <w:bottom w:w="0" w:type="dxa"/>
            </w:tcMar>
            <w:vAlign w:val="center"/>
          </w:tcPr>
          <w:p w14:paraId="47BC88D2" w14:textId="77777777" w:rsidR="004156D6" w:rsidRDefault="00000000">
            <w:pPr>
              <w:keepNext/>
              <w:keepLines/>
              <w:spacing w:after="0" w:line="240" w:lineRule="auto"/>
            </w:pPr>
            <w:r>
              <w:rPr>
                <w:sz w:val="18"/>
              </w:rPr>
              <w:t>661</w:t>
            </w:r>
          </w:p>
        </w:tc>
        <w:tc>
          <w:tcPr>
            <w:tcW w:w="3180" w:type="dxa"/>
            <w:tcMar>
              <w:top w:w="0" w:type="dxa"/>
              <w:bottom w:w="0" w:type="dxa"/>
            </w:tcMar>
            <w:vAlign w:val="center"/>
          </w:tcPr>
          <w:p w14:paraId="26D9B542" w14:textId="77777777" w:rsidR="004156D6"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090B7E12" w14:textId="77777777" w:rsidR="004156D6" w:rsidRDefault="00000000">
            <w:pPr>
              <w:keepNext/>
              <w:keepLines/>
              <w:spacing w:after="0" w:line="240" w:lineRule="auto"/>
            </w:pPr>
            <w:r>
              <w:rPr>
                <w:sz w:val="18"/>
              </w:rPr>
              <w:t>661</w:t>
            </w:r>
          </w:p>
        </w:tc>
        <w:tc>
          <w:tcPr>
            <w:tcW w:w="1860" w:type="dxa"/>
            <w:tcMar>
              <w:top w:w="0" w:type="dxa"/>
              <w:bottom w:w="0" w:type="dxa"/>
            </w:tcMar>
            <w:vAlign w:val="center"/>
          </w:tcPr>
          <w:p w14:paraId="18F02AE5" w14:textId="77777777" w:rsidR="004156D6" w:rsidRDefault="00000000">
            <w:pPr>
              <w:keepNext/>
              <w:keepLines/>
              <w:spacing w:after="0" w:line="240" w:lineRule="auto"/>
              <w:jc w:val="right"/>
            </w:pPr>
            <w:r>
              <w:rPr>
                <w:sz w:val="18"/>
              </w:rPr>
              <w:t>16.622,52</w:t>
            </w:r>
          </w:p>
        </w:tc>
        <w:tc>
          <w:tcPr>
            <w:tcW w:w="1860" w:type="dxa"/>
            <w:tcMar>
              <w:top w:w="0" w:type="dxa"/>
              <w:bottom w:w="0" w:type="dxa"/>
            </w:tcMar>
            <w:vAlign w:val="center"/>
          </w:tcPr>
          <w:p w14:paraId="50AA4910" w14:textId="77777777" w:rsidR="004156D6" w:rsidRDefault="00000000">
            <w:pPr>
              <w:keepNext/>
              <w:keepLines/>
              <w:spacing w:after="0" w:line="240" w:lineRule="auto"/>
              <w:jc w:val="right"/>
            </w:pPr>
            <w:r>
              <w:rPr>
                <w:sz w:val="18"/>
              </w:rPr>
              <w:t>21.661,77</w:t>
            </w:r>
          </w:p>
        </w:tc>
        <w:tc>
          <w:tcPr>
            <w:tcW w:w="700" w:type="dxa"/>
            <w:tcMar>
              <w:top w:w="0" w:type="dxa"/>
              <w:bottom w:w="0" w:type="dxa"/>
            </w:tcMar>
            <w:vAlign w:val="center"/>
          </w:tcPr>
          <w:p w14:paraId="2FC1DBA8" w14:textId="77777777" w:rsidR="004156D6" w:rsidRDefault="00000000">
            <w:pPr>
              <w:keepNext/>
              <w:keepLines/>
              <w:spacing w:after="0" w:line="240" w:lineRule="auto"/>
              <w:jc w:val="right"/>
            </w:pPr>
            <w:r>
              <w:rPr>
                <w:sz w:val="18"/>
              </w:rPr>
              <w:t>130,3</w:t>
            </w:r>
          </w:p>
        </w:tc>
      </w:tr>
    </w:tbl>
    <w:p w14:paraId="1D313B6E" w14:textId="77777777" w:rsidR="004156D6" w:rsidRDefault="004156D6">
      <w:pPr>
        <w:spacing w:after="0"/>
      </w:pPr>
    </w:p>
    <w:p w14:paraId="04C1B91D" w14:textId="77777777" w:rsidR="004156D6" w:rsidRDefault="00000000">
      <w:r>
        <w:t>Ukupno povećanje za 30,3% u odnosu na izvještajno razdoblje prethodne godine odnosi se na neznatno smanjene prihoda od prodaje proizvoda i robe te na povećanje prihoda od pruženih usluga najvećim dijelom od prihoda od najma poslovnog prostora i najma atrija Muzeja za razna događanja.</w:t>
      </w:r>
    </w:p>
    <w:p w14:paraId="16E75252" w14:textId="77777777" w:rsidR="004156D6" w:rsidRDefault="004156D6"/>
    <w:p w14:paraId="434DE3E3" w14:textId="77777777" w:rsidR="004156D6"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67338A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2C5BFA"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D13780"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4AED63"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81B82C"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833539"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9D78E3" w14:textId="77777777" w:rsidR="004156D6" w:rsidRDefault="00000000">
            <w:pPr>
              <w:keepNext/>
              <w:keepLines/>
              <w:spacing w:after="0" w:line="240" w:lineRule="auto"/>
              <w:jc w:val="center"/>
            </w:pPr>
            <w:r>
              <w:rPr>
                <w:b/>
                <w:sz w:val="18"/>
              </w:rPr>
              <w:t>Indeks (%)</w:t>
            </w:r>
          </w:p>
        </w:tc>
      </w:tr>
      <w:tr w:rsidR="004156D6" w14:paraId="4D4301F7" w14:textId="77777777">
        <w:tblPrEx>
          <w:tblCellMar>
            <w:top w:w="0" w:type="dxa"/>
            <w:bottom w:w="0" w:type="dxa"/>
          </w:tblCellMar>
        </w:tblPrEx>
        <w:trPr>
          <w:cantSplit/>
          <w:trHeight w:val="560"/>
        </w:trPr>
        <w:tc>
          <w:tcPr>
            <w:tcW w:w="700" w:type="dxa"/>
            <w:tcMar>
              <w:top w:w="0" w:type="dxa"/>
              <w:bottom w:w="0" w:type="dxa"/>
            </w:tcMar>
            <w:vAlign w:val="center"/>
          </w:tcPr>
          <w:p w14:paraId="3F595CF6" w14:textId="77777777" w:rsidR="004156D6" w:rsidRDefault="00000000">
            <w:pPr>
              <w:keepNext/>
              <w:keepLines/>
              <w:spacing w:after="0" w:line="240" w:lineRule="auto"/>
            </w:pPr>
            <w:r>
              <w:rPr>
                <w:sz w:val="18"/>
              </w:rPr>
              <w:t>6631</w:t>
            </w:r>
          </w:p>
        </w:tc>
        <w:tc>
          <w:tcPr>
            <w:tcW w:w="3180" w:type="dxa"/>
            <w:tcMar>
              <w:top w:w="0" w:type="dxa"/>
              <w:bottom w:w="0" w:type="dxa"/>
            </w:tcMar>
            <w:vAlign w:val="center"/>
          </w:tcPr>
          <w:p w14:paraId="62501E7C" w14:textId="77777777" w:rsidR="004156D6" w:rsidRDefault="00000000">
            <w:pPr>
              <w:keepNext/>
              <w:keepLines/>
              <w:spacing w:after="0" w:line="240" w:lineRule="auto"/>
            </w:pPr>
            <w:r>
              <w:rPr>
                <w:sz w:val="18"/>
              </w:rPr>
              <w:t>Tekuće donacije</w:t>
            </w:r>
          </w:p>
        </w:tc>
        <w:tc>
          <w:tcPr>
            <w:tcW w:w="700" w:type="dxa"/>
            <w:tcMar>
              <w:top w:w="0" w:type="dxa"/>
              <w:bottom w:w="0" w:type="dxa"/>
            </w:tcMar>
            <w:vAlign w:val="center"/>
          </w:tcPr>
          <w:p w14:paraId="36AE6213" w14:textId="77777777" w:rsidR="004156D6" w:rsidRDefault="00000000">
            <w:pPr>
              <w:keepNext/>
              <w:keepLines/>
              <w:spacing w:after="0" w:line="240" w:lineRule="auto"/>
            </w:pPr>
            <w:r>
              <w:rPr>
                <w:sz w:val="18"/>
              </w:rPr>
              <w:t>6631</w:t>
            </w:r>
          </w:p>
        </w:tc>
        <w:tc>
          <w:tcPr>
            <w:tcW w:w="1860" w:type="dxa"/>
            <w:tcMar>
              <w:top w:w="0" w:type="dxa"/>
              <w:bottom w:w="0" w:type="dxa"/>
            </w:tcMar>
            <w:vAlign w:val="center"/>
          </w:tcPr>
          <w:p w14:paraId="5AF54360" w14:textId="77777777" w:rsidR="004156D6" w:rsidRDefault="00000000">
            <w:pPr>
              <w:keepNext/>
              <w:keepLines/>
              <w:spacing w:after="0" w:line="240" w:lineRule="auto"/>
              <w:jc w:val="right"/>
            </w:pPr>
            <w:r>
              <w:rPr>
                <w:sz w:val="18"/>
              </w:rPr>
              <w:t>0,00</w:t>
            </w:r>
          </w:p>
        </w:tc>
        <w:tc>
          <w:tcPr>
            <w:tcW w:w="1860" w:type="dxa"/>
            <w:tcMar>
              <w:top w:w="0" w:type="dxa"/>
              <w:bottom w:w="0" w:type="dxa"/>
            </w:tcMar>
            <w:vAlign w:val="center"/>
          </w:tcPr>
          <w:p w14:paraId="0E2696DD" w14:textId="77777777" w:rsidR="004156D6" w:rsidRDefault="00000000">
            <w:pPr>
              <w:keepNext/>
              <w:keepLines/>
              <w:spacing w:after="0" w:line="240" w:lineRule="auto"/>
              <w:jc w:val="right"/>
            </w:pPr>
            <w:r>
              <w:rPr>
                <w:sz w:val="18"/>
              </w:rPr>
              <w:t>1.000,00</w:t>
            </w:r>
          </w:p>
        </w:tc>
        <w:tc>
          <w:tcPr>
            <w:tcW w:w="700" w:type="dxa"/>
            <w:tcMar>
              <w:top w:w="0" w:type="dxa"/>
              <w:bottom w:w="0" w:type="dxa"/>
            </w:tcMar>
            <w:vAlign w:val="center"/>
          </w:tcPr>
          <w:p w14:paraId="79765FB8" w14:textId="77777777" w:rsidR="004156D6" w:rsidRDefault="00000000">
            <w:pPr>
              <w:keepNext/>
              <w:keepLines/>
              <w:spacing w:after="0" w:line="240" w:lineRule="auto"/>
              <w:jc w:val="right"/>
            </w:pPr>
            <w:r>
              <w:rPr>
                <w:sz w:val="18"/>
              </w:rPr>
              <w:t>-</w:t>
            </w:r>
          </w:p>
        </w:tc>
      </w:tr>
    </w:tbl>
    <w:p w14:paraId="1EAF3EC5" w14:textId="77777777" w:rsidR="004156D6" w:rsidRDefault="004156D6">
      <w:pPr>
        <w:spacing w:after="0"/>
      </w:pPr>
    </w:p>
    <w:p w14:paraId="4407BD78" w14:textId="77777777" w:rsidR="004156D6" w:rsidRDefault="00000000">
      <w:r>
        <w:t>U ovom izvještajnom razdoblju imamo prihod od tekuće donacije koji je raspoređen na aktivnost 100 godina Muzeja grada Šibenika.</w:t>
      </w:r>
    </w:p>
    <w:p w14:paraId="77FC7D61" w14:textId="77777777" w:rsidR="004156D6" w:rsidRDefault="004156D6"/>
    <w:p w14:paraId="2C62FBCF" w14:textId="77777777" w:rsidR="004156D6"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0C480D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62FA8E"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3308EE"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EA694E"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D69CD2"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4AE2B4"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E7F8FF" w14:textId="77777777" w:rsidR="004156D6" w:rsidRDefault="00000000">
            <w:pPr>
              <w:keepNext/>
              <w:keepLines/>
              <w:spacing w:after="0" w:line="240" w:lineRule="auto"/>
              <w:jc w:val="center"/>
            </w:pPr>
            <w:r>
              <w:rPr>
                <w:b/>
                <w:sz w:val="18"/>
              </w:rPr>
              <w:t>Indeks (%)</w:t>
            </w:r>
          </w:p>
        </w:tc>
      </w:tr>
      <w:tr w:rsidR="004156D6" w14:paraId="73D316AD" w14:textId="77777777">
        <w:tblPrEx>
          <w:tblCellMar>
            <w:top w:w="0" w:type="dxa"/>
            <w:bottom w:w="0" w:type="dxa"/>
          </w:tblCellMar>
        </w:tblPrEx>
        <w:trPr>
          <w:cantSplit/>
          <w:trHeight w:val="560"/>
        </w:trPr>
        <w:tc>
          <w:tcPr>
            <w:tcW w:w="700" w:type="dxa"/>
            <w:tcMar>
              <w:top w:w="0" w:type="dxa"/>
              <w:bottom w:w="0" w:type="dxa"/>
            </w:tcMar>
            <w:vAlign w:val="center"/>
          </w:tcPr>
          <w:p w14:paraId="43465008" w14:textId="77777777" w:rsidR="004156D6" w:rsidRDefault="00000000">
            <w:pPr>
              <w:keepNext/>
              <w:keepLines/>
              <w:spacing w:after="0" w:line="240" w:lineRule="auto"/>
            </w:pPr>
            <w:r>
              <w:rPr>
                <w:sz w:val="18"/>
              </w:rPr>
              <w:t>6712</w:t>
            </w:r>
          </w:p>
        </w:tc>
        <w:tc>
          <w:tcPr>
            <w:tcW w:w="3180" w:type="dxa"/>
            <w:tcMar>
              <w:top w:w="0" w:type="dxa"/>
              <w:bottom w:w="0" w:type="dxa"/>
            </w:tcMar>
            <w:vAlign w:val="center"/>
          </w:tcPr>
          <w:p w14:paraId="7B792595" w14:textId="77777777" w:rsidR="004156D6"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71A3CDCC" w14:textId="77777777" w:rsidR="004156D6" w:rsidRDefault="00000000">
            <w:pPr>
              <w:keepNext/>
              <w:keepLines/>
              <w:spacing w:after="0" w:line="240" w:lineRule="auto"/>
            </w:pPr>
            <w:r>
              <w:rPr>
                <w:sz w:val="18"/>
              </w:rPr>
              <w:t>6712</w:t>
            </w:r>
          </w:p>
        </w:tc>
        <w:tc>
          <w:tcPr>
            <w:tcW w:w="1860" w:type="dxa"/>
            <w:tcMar>
              <w:top w:w="0" w:type="dxa"/>
              <w:bottom w:w="0" w:type="dxa"/>
            </w:tcMar>
            <w:vAlign w:val="center"/>
          </w:tcPr>
          <w:p w14:paraId="341AF0F0" w14:textId="77777777" w:rsidR="004156D6" w:rsidRDefault="00000000">
            <w:pPr>
              <w:keepNext/>
              <w:keepLines/>
              <w:spacing w:after="0" w:line="240" w:lineRule="auto"/>
              <w:jc w:val="right"/>
            </w:pPr>
            <w:r>
              <w:rPr>
                <w:sz w:val="18"/>
              </w:rPr>
              <w:t>13.850,59</w:t>
            </w:r>
          </w:p>
        </w:tc>
        <w:tc>
          <w:tcPr>
            <w:tcW w:w="1860" w:type="dxa"/>
            <w:tcMar>
              <w:top w:w="0" w:type="dxa"/>
              <w:bottom w:w="0" w:type="dxa"/>
            </w:tcMar>
            <w:vAlign w:val="center"/>
          </w:tcPr>
          <w:p w14:paraId="0899FB56" w14:textId="77777777" w:rsidR="004156D6" w:rsidRDefault="00000000">
            <w:pPr>
              <w:keepNext/>
              <w:keepLines/>
              <w:spacing w:after="0" w:line="240" w:lineRule="auto"/>
              <w:jc w:val="right"/>
            </w:pPr>
            <w:r>
              <w:rPr>
                <w:sz w:val="18"/>
              </w:rPr>
              <w:t>37.687,14</w:t>
            </w:r>
          </w:p>
        </w:tc>
        <w:tc>
          <w:tcPr>
            <w:tcW w:w="700" w:type="dxa"/>
            <w:tcMar>
              <w:top w:w="0" w:type="dxa"/>
              <w:bottom w:w="0" w:type="dxa"/>
            </w:tcMar>
            <w:vAlign w:val="center"/>
          </w:tcPr>
          <w:p w14:paraId="164BC50C" w14:textId="77777777" w:rsidR="004156D6" w:rsidRDefault="00000000">
            <w:pPr>
              <w:keepNext/>
              <w:keepLines/>
              <w:spacing w:after="0" w:line="240" w:lineRule="auto"/>
              <w:jc w:val="right"/>
            </w:pPr>
            <w:r>
              <w:rPr>
                <w:sz w:val="18"/>
              </w:rPr>
              <w:t>272,1</w:t>
            </w:r>
          </w:p>
        </w:tc>
      </w:tr>
    </w:tbl>
    <w:p w14:paraId="0419E955" w14:textId="77777777" w:rsidR="004156D6" w:rsidRDefault="004156D6">
      <w:pPr>
        <w:spacing w:after="0"/>
      </w:pPr>
    </w:p>
    <w:p w14:paraId="7119065E" w14:textId="77777777" w:rsidR="004156D6" w:rsidRDefault="00000000">
      <w:r>
        <w:t>U ovom izvještajnom razdoblju imamo povećanje od 172,1% koje se odnosi na prihode za nabavu računalne i uredske opreme za novozaposlene djelatnike te na prihode za nabavu multimedijalne opreme za kapitalni projekt Stalni postav.</w:t>
      </w:r>
    </w:p>
    <w:p w14:paraId="68162F98" w14:textId="77777777" w:rsidR="004156D6" w:rsidRDefault="004156D6"/>
    <w:p w14:paraId="362CC657" w14:textId="77777777" w:rsidR="004156D6"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173D3C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C1D590"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2AECFA"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D1E972"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F57DDA"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E9D9F3"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5B439A" w14:textId="77777777" w:rsidR="004156D6" w:rsidRDefault="00000000">
            <w:pPr>
              <w:keepNext/>
              <w:keepLines/>
              <w:spacing w:after="0" w:line="240" w:lineRule="auto"/>
              <w:jc w:val="center"/>
            </w:pPr>
            <w:r>
              <w:rPr>
                <w:b/>
                <w:sz w:val="18"/>
              </w:rPr>
              <w:t>Indeks (%)</w:t>
            </w:r>
          </w:p>
        </w:tc>
      </w:tr>
      <w:tr w:rsidR="004156D6" w14:paraId="68D53194" w14:textId="77777777">
        <w:tblPrEx>
          <w:tblCellMar>
            <w:top w:w="0" w:type="dxa"/>
            <w:bottom w:w="0" w:type="dxa"/>
          </w:tblCellMar>
        </w:tblPrEx>
        <w:trPr>
          <w:cantSplit/>
          <w:trHeight w:val="560"/>
        </w:trPr>
        <w:tc>
          <w:tcPr>
            <w:tcW w:w="700" w:type="dxa"/>
            <w:tcMar>
              <w:top w:w="0" w:type="dxa"/>
              <w:bottom w:w="0" w:type="dxa"/>
            </w:tcMar>
            <w:vAlign w:val="center"/>
          </w:tcPr>
          <w:p w14:paraId="2342B32E" w14:textId="77777777" w:rsidR="004156D6" w:rsidRDefault="00000000">
            <w:pPr>
              <w:keepNext/>
              <w:keepLines/>
              <w:spacing w:after="0" w:line="240" w:lineRule="auto"/>
            </w:pPr>
            <w:r>
              <w:rPr>
                <w:sz w:val="18"/>
              </w:rPr>
              <w:t>32</w:t>
            </w:r>
          </w:p>
        </w:tc>
        <w:tc>
          <w:tcPr>
            <w:tcW w:w="3180" w:type="dxa"/>
            <w:tcMar>
              <w:top w:w="0" w:type="dxa"/>
              <w:bottom w:w="0" w:type="dxa"/>
            </w:tcMar>
            <w:vAlign w:val="center"/>
          </w:tcPr>
          <w:p w14:paraId="50E09FEF" w14:textId="77777777" w:rsidR="004156D6"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546484D1" w14:textId="77777777" w:rsidR="004156D6" w:rsidRDefault="00000000">
            <w:pPr>
              <w:keepNext/>
              <w:keepLines/>
              <w:spacing w:after="0" w:line="240" w:lineRule="auto"/>
            </w:pPr>
            <w:r>
              <w:rPr>
                <w:sz w:val="18"/>
              </w:rPr>
              <w:t>32</w:t>
            </w:r>
          </w:p>
        </w:tc>
        <w:tc>
          <w:tcPr>
            <w:tcW w:w="1860" w:type="dxa"/>
            <w:tcMar>
              <w:top w:w="0" w:type="dxa"/>
              <w:bottom w:w="0" w:type="dxa"/>
            </w:tcMar>
            <w:vAlign w:val="center"/>
          </w:tcPr>
          <w:p w14:paraId="2F481C78" w14:textId="77777777" w:rsidR="004156D6" w:rsidRDefault="00000000">
            <w:pPr>
              <w:keepNext/>
              <w:keepLines/>
              <w:spacing w:after="0" w:line="240" w:lineRule="auto"/>
              <w:jc w:val="right"/>
            </w:pPr>
            <w:r>
              <w:rPr>
                <w:sz w:val="18"/>
              </w:rPr>
              <w:t>257.663,30</w:t>
            </w:r>
          </w:p>
        </w:tc>
        <w:tc>
          <w:tcPr>
            <w:tcW w:w="1860" w:type="dxa"/>
            <w:tcMar>
              <w:top w:w="0" w:type="dxa"/>
              <w:bottom w:w="0" w:type="dxa"/>
            </w:tcMar>
            <w:vAlign w:val="center"/>
          </w:tcPr>
          <w:p w14:paraId="7C78F990" w14:textId="77777777" w:rsidR="004156D6" w:rsidRDefault="00000000">
            <w:pPr>
              <w:keepNext/>
              <w:keepLines/>
              <w:spacing w:after="0" w:line="240" w:lineRule="auto"/>
              <w:jc w:val="right"/>
            </w:pPr>
            <w:r>
              <w:rPr>
                <w:sz w:val="18"/>
              </w:rPr>
              <w:t>382.366,27</w:t>
            </w:r>
          </w:p>
        </w:tc>
        <w:tc>
          <w:tcPr>
            <w:tcW w:w="700" w:type="dxa"/>
            <w:tcMar>
              <w:top w:w="0" w:type="dxa"/>
              <w:bottom w:w="0" w:type="dxa"/>
            </w:tcMar>
            <w:vAlign w:val="center"/>
          </w:tcPr>
          <w:p w14:paraId="480AFE93" w14:textId="77777777" w:rsidR="004156D6" w:rsidRDefault="00000000">
            <w:pPr>
              <w:keepNext/>
              <w:keepLines/>
              <w:spacing w:after="0" w:line="240" w:lineRule="auto"/>
              <w:jc w:val="right"/>
            </w:pPr>
            <w:r>
              <w:rPr>
                <w:sz w:val="18"/>
              </w:rPr>
              <w:t>148,4</w:t>
            </w:r>
          </w:p>
        </w:tc>
      </w:tr>
    </w:tbl>
    <w:p w14:paraId="55DBF559" w14:textId="77777777" w:rsidR="004156D6" w:rsidRDefault="004156D6">
      <w:pPr>
        <w:spacing w:after="0"/>
      </w:pPr>
    </w:p>
    <w:p w14:paraId="72603776" w14:textId="77777777" w:rsidR="004156D6" w:rsidRDefault="00000000">
      <w:r>
        <w:t>Ukupno povećanje od 48,4% u odnosu na izvještajno razdoblje prethodne godine odnosi se najvećim dijelom na rashode za materijal i energiju, rashode za usluge te na ostale nespomenute rashode.</w:t>
      </w:r>
    </w:p>
    <w:p w14:paraId="703CABCA" w14:textId="77777777" w:rsidR="004156D6" w:rsidRDefault="004156D6"/>
    <w:p w14:paraId="62976362" w14:textId="77777777" w:rsidR="004156D6"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437FA9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CCA24E"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7B8645"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DAC92D"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64A176"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92E4BD"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5DFB55" w14:textId="77777777" w:rsidR="004156D6" w:rsidRDefault="00000000">
            <w:pPr>
              <w:keepNext/>
              <w:keepLines/>
              <w:spacing w:after="0" w:line="240" w:lineRule="auto"/>
              <w:jc w:val="center"/>
            </w:pPr>
            <w:r>
              <w:rPr>
                <w:b/>
                <w:sz w:val="18"/>
              </w:rPr>
              <w:t>Indeks (%)</w:t>
            </w:r>
          </w:p>
        </w:tc>
      </w:tr>
      <w:tr w:rsidR="004156D6" w14:paraId="240B24E0" w14:textId="77777777">
        <w:tblPrEx>
          <w:tblCellMar>
            <w:top w:w="0" w:type="dxa"/>
            <w:bottom w:w="0" w:type="dxa"/>
          </w:tblCellMar>
        </w:tblPrEx>
        <w:trPr>
          <w:cantSplit/>
          <w:trHeight w:val="560"/>
        </w:trPr>
        <w:tc>
          <w:tcPr>
            <w:tcW w:w="700" w:type="dxa"/>
            <w:tcMar>
              <w:top w:w="0" w:type="dxa"/>
              <w:bottom w:w="0" w:type="dxa"/>
            </w:tcMar>
            <w:vAlign w:val="center"/>
          </w:tcPr>
          <w:p w14:paraId="1386E6EC" w14:textId="77777777" w:rsidR="004156D6" w:rsidRDefault="00000000">
            <w:pPr>
              <w:keepNext/>
              <w:keepLines/>
              <w:spacing w:after="0" w:line="240" w:lineRule="auto"/>
            </w:pPr>
            <w:r>
              <w:rPr>
                <w:sz w:val="18"/>
              </w:rPr>
              <w:t>3211</w:t>
            </w:r>
          </w:p>
        </w:tc>
        <w:tc>
          <w:tcPr>
            <w:tcW w:w="3180" w:type="dxa"/>
            <w:tcMar>
              <w:top w:w="0" w:type="dxa"/>
              <w:bottom w:w="0" w:type="dxa"/>
            </w:tcMar>
            <w:vAlign w:val="center"/>
          </w:tcPr>
          <w:p w14:paraId="3955A01C" w14:textId="77777777" w:rsidR="004156D6" w:rsidRDefault="00000000">
            <w:pPr>
              <w:keepNext/>
              <w:keepLines/>
              <w:spacing w:after="0" w:line="240" w:lineRule="auto"/>
            </w:pPr>
            <w:r>
              <w:rPr>
                <w:sz w:val="18"/>
              </w:rPr>
              <w:t>Službena putovanja</w:t>
            </w:r>
          </w:p>
        </w:tc>
        <w:tc>
          <w:tcPr>
            <w:tcW w:w="700" w:type="dxa"/>
            <w:tcMar>
              <w:top w:w="0" w:type="dxa"/>
              <w:bottom w:w="0" w:type="dxa"/>
            </w:tcMar>
            <w:vAlign w:val="center"/>
          </w:tcPr>
          <w:p w14:paraId="24EC2ABD" w14:textId="77777777" w:rsidR="004156D6" w:rsidRDefault="00000000">
            <w:pPr>
              <w:keepNext/>
              <w:keepLines/>
              <w:spacing w:after="0" w:line="240" w:lineRule="auto"/>
            </w:pPr>
            <w:r>
              <w:rPr>
                <w:sz w:val="18"/>
              </w:rPr>
              <w:t>3211</w:t>
            </w:r>
          </w:p>
        </w:tc>
        <w:tc>
          <w:tcPr>
            <w:tcW w:w="1860" w:type="dxa"/>
            <w:tcMar>
              <w:top w:w="0" w:type="dxa"/>
              <w:bottom w:w="0" w:type="dxa"/>
            </w:tcMar>
            <w:vAlign w:val="center"/>
          </w:tcPr>
          <w:p w14:paraId="133062F7" w14:textId="77777777" w:rsidR="004156D6" w:rsidRDefault="00000000">
            <w:pPr>
              <w:keepNext/>
              <w:keepLines/>
              <w:spacing w:after="0" w:line="240" w:lineRule="auto"/>
              <w:jc w:val="right"/>
            </w:pPr>
            <w:r>
              <w:rPr>
                <w:sz w:val="18"/>
              </w:rPr>
              <w:t>11.748,88</w:t>
            </w:r>
          </w:p>
        </w:tc>
        <w:tc>
          <w:tcPr>
            <w:tcW w:w="1860" w:type="dxa"/>
            <w:tcMar>
              <w:top w:w="0" w:type="dxa"/>
              <w:bottom w:w="0" w:type="dxa"/>
            </w:tcMar>
            <w:vAlign w:val="center"/>
          </w:tcPr>
          <w:p w14:paraId="42514A17" w14:textId="77777777" w:rsidR="004156D6" w:rsidRDefault="00000000">
            <w:pPr>
              <w:keepNext/>
              <w:keepLines/>
              <w:spacing w:after="0" w:line="240" w:lineRule="auto"/>
              <w:jc w:val="right"/>
            </w:pPr>
            <w:r>
              <w:rPr>
                <w:sz w:val="18"/>
              </w:rPr>
              <w:t>4.893,55</w:t>
            </w:r>
          </w:p>
        </w:tc>
        <w:tc>
          <w:tcPr>
            <w:tcW w:w="700" w:type="dxa"/>
            <w:tcMar>
              <w:top w:w="0" w:type="dxa"/>
              <w:bottom w:w="0" w:type="dxa"/>
            </w:tcMar>
            <w:vAlign w:val="center"/>
          </w:tcPr>
          <w:p w14:paraId="43941C36" w14:textId="77777777" w:rsidR="004156D6" w:rsidRDefault="00000000">
            <w:pPr>
              <w:keepNext/>
              <w:keepLines/>
              <w:spacing w:after="0" w:line="240" w:lineRule="auto"/>
              <w:jc w:val="right"/>
            </w:pPr>
            <w:r>
              <w:rPr>
                <w:sz w:val="18"/>
              </w:rPr>
              <w:t>41,7</w:t>
            </w:r>
          </w:p>
        </w:tc>
      </w:tr>
    </w:tbl>
    <w:p w14:paraId="5A92765F" w14:textId="77777777" w:rsidR="004156D6" w:rsidRDefault="004156D6">
      <w:pPr>
        <w:spacing w:after="0"/>
      </w:pPr>
    </w:p>
    <w:p w14:paraId="3FD401EA" w14:textId="77777777" w:rsidR="004156D6" w:rsidRDefault="00000000">
      <w:r>
        <w:t>Smanjenje od 58,3% u odnosu na izvještajno razdoblje prethodne godine odnosi se najvećim dijelom na smanjenja gostovanja izložbi Muzeja grada Šibenika.</w:t>
      </w:r>
    </w:p>
    <w:p w14:paraId="435A3AF6" w14:textId="77777777" w:rsidR="004156D6" w:rsidRDefault="004156D6"/>
    <w:p w14:paraId="7794B7BF" w14:textId="77777777" w:rsidR="004156D6"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21DDE9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5A0610"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A74809"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837243"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C34AE2"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1C9213"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1CB1CE" w14:textId="77777777" w:rsidR="004156D6" w:rsidRDefault="00000000">
            <w:pPr>
              <w:keepNext/>
              <w:keepLines/>
              <w:spacing w:after="0" w:line="240" w:lineRule="auto"/>
              <w:jc w:val="center"/>
            </w:pPr>
            <w:r>
              <w:rPr>
                <w:b/>
                <w:sz w:val="18"/>
              </w:rPr>
              <w:t>Indeks (%)</w:t>
            </w:r>
          </w:p>
        </w:tc>
      </w:tr>
      <w:tr w:rsidR="004156D6" w14:paraId="7D595FBF" w14:textId="77777777">
        <w:tblPrEx>
          <w:tblCellMar>
            <w:top w:w="0" w:type="dxa"/>
            <w:bottom w:w="0" w:type="dxa"/>
          </w:tblCellMar>
        </w:tblPrEx>
        <w:trPr>
          <w:cantSplit/>
          <w:trHeight w:val="560"/>
        </w:trPr>
        <w:tc>
          <w:tcPr>
            <w:tcW w:w="700" w:type="dxa"/>
            <w:tcMar>
              <w:top w:w="0" w:type="dxa"/>
              <w:bottom w:w="0" w:type="dxa"/>
            </w:tcMar>
            <w:vAlign w:val="center"/>
          </w:tcPr>
          <w:p w14:paraId="5956A005" w14:textId="77777777" w:rsidR="004156D6" w:rsidRDefault="00000000">
            <w:pPr>
              <w:keepNext/>
              <w:keepLines/>
              <w:spacing w:after="0" w:line="240" w:lineRule="auto"/>
            </w:pPr>
            <w:r>
              <w:rPr>
                <w:sz w:val="18"/>
              </w:rPr>
              <w:t>3213</w:t>
            </w:r>
          </w:p>
        </w:tc>
        <w:tc>
          <w:tcPr>
            <w:tcW w:w="3180" w:type="dxa"/>
            <w:tcMar>
              <w:top w:w="0" w:type="dxa"/>
              <w:bottom w:w="0" w:type="dxa"/>
            </w:tcMar>
            <w:vAlign w:val="center"/>
          </w:tcPr>
          <w:p w14:paraId="6B45B4B5" w14:textId="77777777" w:rsidR="004156D6"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6C327C3C" w14:textId="77777777" w:rsidR="004156D6" w:rsidRDefault="00000000">
            <w:pPr>
              <w:keepNext/>
              <w:keepLines/>
              <w:spacing w:after="0" w:line="240" w:lineRule="auto"/>
            </w:pPr>
            <w:r>
              <w:rPr>
                <w:sz w:val="18"/>
              </w:rPr>
              <w:t>3213</w:t>
            </w:r>
          </w:p>
        </w:tc>
        <w:tc>
          <w:tcPr>
            <w:tcW w:w="1860" w:type="dxa"/>
            <w:tcMar>
              <w:top w:w="0" w:type="dxa"/>
              <w:bottom w:w="0" w:type="dxa"/>
            </w:tcMar>
            <w:vAlign w:val="center"/>
          </w:tcPr>
          <w:p w14:paraId="67D50CFF" w14:textId="77777777" w:rsidR="004156D6" w:rsidRDefault="00000000">
            <w:pPr>
              <w:keepNext/>
              <w:keepLines/>
              <w:spacing w:after="0" w:line="240" w:lineRule="auto"/>
              <w:jc w:val="right"/>
            </w:pPr>
            <w:r>
              <w:rPr>
                <w:sz w:val="18"/>
              </w:rPr>
              <w:t>639,25</w:t>
            </w:r>
          </w:p>
        </w:tc>
        <w:tc>
          <w:tcPr>
            <w:tcW w:w="1860" w:type="dxa"/>
            <w:tcMar>
              <w:top w:w="0" w:type="dxa"/>
              <w:bottom w:w="0" w:type="dxa"/>
            </w:tcMar>
            <w:vAlign w:val="center"/>
          </w:tcPr>
          <w:p w14:paraId="73606E92" w14:textId="77777777" w:rsidR="004156D6" w:rsidRDefault="00000000">
            <w:pPr>
              <w:keepNext/>
              <w:keepLines/>
              <w:spacing w:after="0" w:line="240" w:lineRule="auto"/>
              <w:jc w:val="right"/>
            </w:pPr>
            <w:r>
              <w:rPr>
                <w:sz w:val="18"/>
              </w:rPr>
              <w:t>935,50</w:t>
            </w:r>
          </w:p>
        </w:tc>
        <w:tc>
          <w:tcPr>
            <w:tcW w:w="700" w:type="dxa"/>
            <w:tcMar>
              <w:top w:w="0" w:type="dxa"/>
              <w:bottom w:w="0" w:type="dxa"/>
            </w:tcMar>
            <w:vAlign w:val="center"/>
          </w:tcPr>
          <w:p w14:paraId="557ED25F" w14:textId="77777777" w:rsidR="004156D6" w:rsidRDefault="00000000">
            <w:pPr>
              <w:keepNext/>
              <w:keepLines/>
              <w:spacing w:after="0" w:line="240" w:lineRule="auto"/>
              <w:jc w:val="right"/>
            </w:pPr>
            <w:r>
              <w:rPr>
                <w:sz w:val="18"/>
              </w:rPr>
              <w:t>146,3</w:t>
            </w:r>
          </w:p>
        </w:tc>
      </w:tr>
    </w:tbl>
    <w:p w14:paraId="68BB2F66" w14:textId="77777777" w:rsidR="004156D6" w:rsidRDefault="004156D6">
      <w:pPr>
        <w:spacing w:after="0"/>
      </w:pPr>
    </w:p>
    <w:p w14:paraId="7016568F" w14:textId="77777777" w:rsidR="004156D6" w:rsidRDefault="00000000">
      <w:r>
        <w:t>U ovom izvještajnom razdoblju imamo povećanje od 46,3%. Razlog tome je povećano prisustvovanje seminarima i radionicama u područjima računovodstva, financija i nabave.</w:t>
      </w:r>
    </w:p>
    <w:p w14:paraId="2403AB7B" w14:textId="77777777" w:rsidR="004156D6" w:rsidRDefault="004156D6"/>
    <w:p w14:paraId="3BD64727" w14:textId="77777777" w:rsidR="004156D6"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7B0536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748939"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C11251"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E899A0"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5A4DB0"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634C79"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79C19C" w14:textId="77777777" w:rsidR="004156D6" w:rsidRDefault="00000000">
            <w:pPr>
              <w:keepNext/>
              <w:keepLines/>
              <w:spacing w:after="0" w:line="240" w:lineRule="auto"/>
              <w:jc w:val="center"/>
            </w:pPr>
            <w:r>
              <w:rPr>
                <w:b/>
                <w:sz w:val="18"/>
              </w:rPr>
              <w:t>Indeks (%)</w:t>
            </w:r>
          </w:p>
        </w:tc>
      </w:tr>
      <w:tr w:rsidR="004156D6" w14:paraId="670FEBD5" w14:textId="77777777">
        <w:tblPrEx>
          <w:tblCellMar>
            <w:top w:w="0" w:type="dxa"/>
            <w:bottom w:w="0" w:type="dxa"/>
          </w:tblCellMar>
        </w:tblPrEx>
        <w:trPr>
          <w:cantSplit/>
          <w:trHeight w:val="560"/>
        </w:trPr>
        <w:tc>
          <w:tcPr>
            <w:tcW w:w="700" w:type="dxa"/>
            <w:tcMar>
              <w:top w:w="0" w:type="dxa"/>
              <w:bottom w:w="0" w:type="dxa"/>
            </w:tcMar>
            <w:vAlign w:val="center"/>
          </w:tcPr>
          <w:p w14:paraId="121006E9" w14:textId="77777777" w:rsidR="004156D6" w:rsidRDefault="00000000">
            <w:pPr>
              <w:keepNext/>
              <w:keepLines/>
              <w:spacing w:after="0" w:line="240" w:lineRule="auto"/>
            </w:pPr>
            <w:r>
              <w:rPr>
                <w:sz w:val="18"/>
              </w:rPr>
              <w:t>3224</w:t>
            </w:r>
          </w:p>
        </w:tc>
        <w:tc>
          <w:tcPr>
            <w:tcW w:w="3180" w:type="dxa"/>
            <w:tcMar>
              <w:top w:w="0" w:type="dxa"/>
              <w:bottom w:w="0" w:type="dxa"/>
            </w:tcMar>
            <w:vAlign w:val="center"/>
          </w:tcPr>
          <w:p w14:paraId="0BE5CD9F" w14:textId="77777777" w:rsidR="004156D6"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0A0E105A" w14:textId="77777777" w:rsidR="004156D6" w:rsidRDefault="00000000">
            <w:pPr>
              <w:keepNext/>
              <w:keepLines/>
              <w:spacing w:after="0" w:line="240" w:lineRule="auto"/>
            </w:pPr>
            <w:r>
              <w:rPr>
                <w:sz w:val="18"/>
              </w:rPr>
              <w:t>3224</w:t>
            </w:r>
          </w:p>
        </w:tc>
        <w:tc>
          <w:tcPr>
            <w:tcW w:w="1860" w:type="dxa"/>
            <w:tcMar>
              <w:top w:w="0" w:type="dxa"/>
              <w:bottom w:w="0" w:type="dxa"/>
            </w:tcMar>
            <w:vAlign w:val="center"/>
          </w:tcPr>
          <w:p w14:paraId="5895FA07" w14:textId="77777777" w:rsidR="004156D6" w:rsidRDefault="00000000">
            <w:pPr>
              <w:keepNext/>
              <w:keepLines/>
              <w:spacing w:after="0" w:line="240" w:lineRule="auto"/>
              <w:jc w:val="right"/>
            </w:pPr>
            <w:r>
              <w:rPr>
                <w:sz w:val="18"/>
              </w:rPr>
              <w:t>2.769,96</w:t>
            </w:r>
          </w:p>
        </w:tc>
        <w:tc>
          <w:tcPr>
            <w:tcW w:w="1860" w:type="dxa"/>
            <w:tcMar>
              <w:top w:w="0" w:type="dxa"/>
              <w:bottom w:w="0" w:type="dxa"/>
            </w:tcMar>
            <w:vAlign w:val="center"/>
          </w:tcPr>
          <w:p w14:paraId="0CA5B444" w14:textId="77777777" w:rsidR="004156D6" w:rsidRDefault="00000000">
            <w:pPr>
              <w:keepNext/>
              <w:keepLines/>
              <w:spacing w:after="0" w:line="240" w:lineRule="auto"/>
              <w:jc w:val="right"/>
            </w:pPr>
            <w:r>
              <w:rPr>
                <w:sz w:val="18"/>
              </w:rPr>
              <w:t>6.481,20</w:t>
            </w:r>
          </w:p>
        </w:tc>
        <w:tc>
          <w:tcPr>
            <w:tcW w:w="700" w:type="dxa"/>
            <w:tcMar>
              <w:top w:w="0" w:type="dxa"/>
              <w:bottom w:w="0" w:type="dxa"/>
            </w:tcMar>
            <w:vAlign w:val="center"/>
          </w:tcPr>
          <w:p w14:paraId="4C014063" w14:textId="77777777" w:rsidR="004156D6" w:rsidRDefault="00000000">
            <w:pPr>
              <w:keepNext/>
              <w:keepLines/>
              <w:spacing w:after="0" w:line="240" w:lineRule="auto"/>
              <w:jc w:val="right"/>
            </w:pPr>
            <w:r>
              <w:rPr>
                <w:sz w:val="18"/>
              </w:rPr>
              <w:t>234,0</w:t>
            </w:r>
          </w:p>
        </w:tc>
      </w:tr>
    </w:tbl>
    <w:p w14:paraId="68D72A5C" w14:textId="77777777" w:rsidR="004156D6" w:rsidRDefault="004156D6">
      <w:pPr>
        <w:spacing w:after="0"/>
      </w:pPr>
    </w:p>
    <w:p w14:paraId="2180FF6A" w14:textId="77777777" w:rsidR="004156D6" w:rsidRDefault="00000000">
      <w:r>
        <w:t>Povećanje od 134% u odnosu na izvještajno razdoblje prethodne godine najvećim se dijelom odnosi na materijal za uređenje depoa za skladištenje stvari koje se prebacuju iz zgrade Muzeja zbog projekta Energetske obnove te na materijal za radionicu kućnog majstora.</w:t>
      </w:r>
    </w:p>
    <w:p w14:paraId="6CD33FE0" w14:textId="77777777" w:rsidR="004156D6" w:rsidRDefault="004156D6"/>
    <w:p w14:paraId="7F466151" w14:textId="77777777" w:rsidR="004156D6"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5F667D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1064D3"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F8CAFD"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905207"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A7DC23"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B525D3"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78D3EA" w14:textId="77777777" w:rsidR="004156D6" w:rsidRDefault="00000000">
            <w:pPr>
              <w:keepNext/>
              <w:keepLines/>
              <w:spacing w:after="0" w:line="240" w:lineRule="auto"/>
              <w:jc w:val="center"/>
            </w:pPr>
            <w:r>
              <w:rPr>
                <w:b/>
                <w:sz w:val="18"/>
              </w:rPr>
              <w:t>Indeks (%)</w:t>
            </w:r>
          </w:p>
        </w:tc>
      </w:tr>
      <w:tr w:rsidR="004156D6" w14:paraId="226366E5" w14:textId="77777777">
        <w:tblPrEx>
          <w:tblCellMar>
            <w:top w:w="0" w:type="dxa"/>
            <w:bottom w:w="0" w:type="dxa"/>
          </w:tblCellMar>
        </w:tblPrEx>
        <w:trPr>
          <w:cantSplit/>
          <w:trHeight w:val="560"/>
        </w:trPr>
        <w:tc>
          <w:tcPr>
            <w:tcW w:w="700" w:type="dxa"/>
            <w:tcMar>
              <w:top w:w="0" w:type="dxa"/>
              <w:bottom w:w="0" w:type="dxa"/>
            </w:tcMar>
            <w:vAlign w:val="center"/>
          </w:tcPr>
          <w:p w14:paraId="79F0C64A" w14:textId="77777777" w:rsidR="004156D6" w:rsidRDefault="00000000">
            <w:pPr>
              <w:keepNext/>
              <w:keepLines/>
              <w:spacing w:after="0" w:line="240" w:lineRule="auto"/>
            </w:pPr>
            <w:r>
              <w:rPr>
                <w:sz w:val="18"/>
              </w:rPr>
              <w:t>3225</w:t>
            </w:r>
          </w:p>
        </w:tc>
        <w:tc>
          <w:tcPr>
            <w:tcW w:w="3180" w:type="dxa"/>
            <w:tcMar>
              <w:top w:w="0" w:type="dxa"/>
              <w:bottom w:w="0" w:type="dxa"/>
            </w:tcMar>
            <w:vAlign w:val="center"/>
          </w:tcPr>
          <w:p w14:paraId="24F400AB" w14:textId="77777777" w:rsidR="004156D6"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3FCA564B" w14:textId="77777777" w:rsidR="004156D6" w:rsidRDefault="00000000">
            <w:pPr>
              <w:keepNext/>
              <w:keepLines/>
              <w:spacing w:after="0" w:line="240" w:lineRule="auto"/>
            </w:pPr>
            <w:r>
              <w:rPr>
                <w:sz w:val="18"/>
              </w:rPr>
              <w:t>3225</w:t>
            </w:r>
          </w:p>
        </w:tc>
        <w:tc>
          <w:tcPr>
            <w:tcW w:w="1860" w:type="dxa"/>
            <w:tcMar>
              <w:top w:w="0" w:type="dxa"/>
              <w:bottom w:w="0" w:type="dxa"/>
            </w:tcMar>
            <w:vAlign w:val="center"/>
          </w:tcPr>
          <w:p w14:paraId="505D6199" w14:textId="77777777" w:rsidR="004156D6" w:rsidRDefault="00000000">
            <w:pPr>
              <w:keepNext/>
              <w:keepLines/>
              <w:spacing w:after="0" w:line="240" w:lineRule="auto"/>
              <w:jc w:val="right"/>
            </w:pPr>
            <w:r>
              <w:rPr>
                <w:sz w:val="18"/>
              </w:rPr>
              <w:t>1.768,92</w:t>
            </w:r>
          </w:p>
        </w:tc>
        <w:tc>
          <w:tcPr>
            <w:tcW w:w="1860" w:type="dxa"/>
            <w:tcMar>
              <w:top w:w="0" w:type="dxa"/>
              <w:bottom w:w="0" w:type="dxa"/>
            </w:tcMar>
            <w:vAlign w:val="center"/>
          </w:tcPr>
          <w:p w14:paraId="29760911" w14:textId="77777777" w:rsidR="004156D6" w:rsidRDefault="00000000">
            <w:pPr>
              <w:keepNext/>
              <w:keepLines/>
              <w:spacing w:after="0" w:line="240" w:lineRule="auto"/>
              <w:jc w:val="right"/>
            </w:pPr>
            <w:r>
              <w:rPr>
                <w:sz w:val="18"/>
              </w:rPr>
              <w:t>4.535,13</w:t>
            </w:r>
          </w:p>
        </w:tc>
        <w:tc>
          <w:tcPr>
            <w:tcW w:w="700" w:type="dxa"/>
            <w:tcMar>
              <w:top w:w="0" w:type="dxa"/>
              <w:bottom w:w="0" w:type="dxa"/>
            </w:tcMar>
            <w:vAlign w:val="center"/>
          </w:tcPr>
          <w:p w14:paraId="3046ACE4" w14:textId="77777777" w:rsidR="004156D6" w:rsidRDefault="00000000">
            <w:pPr>
              <w:keepNext/>
              <w:keepLines/>
              <w:spacing w:after="0" w:line="240" w:lineRule="auto"/>
              <w:jc w:val="right"/>
            </w:pPr>
            <w:r>
              <w:rPr>
                <w:sz w:val="18"/>
              </w:rPr>
              <w:t>256,4</w:t>
            </w:r>
          </w:p>
        </w:tc>
      </w:tr>
    </w:tbl>
    <w:p w14:paraId="5A6F1E48" w14:textId="77777777" w:rsidR="004156D6" w:rsidRDefault="004156D6">
      <w:pPr>
        <w:spacing w:after="0"/>
      </w:pPr>
    </w:p>
    <w:p w14:paraId="73E987BF" w14:textId="77777777" w:rsidR="004156D6" w:rsidRDefault="00000000">
      <w:r>
        <w:t>Povećanje od 156,4% odnosi se najvećim dijelom za nabavu električnih grijalica jer zbog energetske obnove zgrade Muzeja stari sustav grijanja nije u funkciji te na nabavu štafelaja koji su nam potrebni za izložbe.</w:t>
      </w:r>
    </w:p>
    <w:p w14:paraId="61099130" w14:textId="77777777" w:rsidR="004156D6" w:rsidRDefault="004156D6"/>
    <w:p w14:paraId="4713C05E" w14:textId="77777777" w:rsidR="004156D6"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718927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C7BF7F"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0A53D0"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3E22E3"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CD2D84"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57ECA1"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1DC7DC" w14:textId="77777777" w:rsidR="004156D6" w:rsidRDefault="00000000">
            <w:pPr>
              <w:keepNext/>
              <w:keepLines/>
              <w:spacing w:after="0" w:line="240" w:lineRule="auto"/>
              <w:jc w:val="center"/>
            </w:pPr>
            <w:r>
              <w:rPr>
                <w:b/>
                <w:sz w:val="18"/>
              </w:rPr>
              <w:t>Indeks (%)</w:t>
            </w:r>
          </w:p>
        </w:tc>
      </w:tr>
      <w:tr w:rsidR="004156D6" w14:paraId="000572C3" w14:textId="77777777">
        <w:tblPrEx>
          <w:tblCellMar>
            <w:top w:w="0" w:type="dxa"/>
            <w:bottom w:w="0" w:type="dxa"/>
          </w:tblCellMar>
        </w:tblPrEx>
        <w:trPr>
          <w:cantSplit/>
          <w:trHeight w:val="560"/>
        </w:trPr>
        <w:tc>
          <w:tcPr>
            <w:tcW w:w="700" w:type="dxa"/>
            <w:tcMar>
              <w:top w:w="0" w:type="dxa"/>
              <w:bottom w:w="0" w:type="dxa"/>
            </w:tcMar>
            <w:vAlign w:val="center"/>
          </w:tcPr>
          <w:p w14:paraId="35D0631D" w14:textId="77777777" w:rsidR="004156D6" w:rsidRDefault="00000000">
            <w:pPr>
              <w:keepNext/>
              <w:keepLines/>
              <w:spacing w:after="0" w:line="240" w:lineRule="auto"/>
            </w:pPr>
            <w:r>
              <w:rPr>
                <w:sz w:val="18"/>
              </w:rPr>
              <w:t>3231</w:t>
            </w:r>
          </w:p>
        </w:tc>
        <w:tc>
          <w:tcPr>
            <w:tcW w:w="3180" w:type="dxa"/>
            <w:tcMar>
              <w:top w:w="0" w:type="dxa"/>
              <w:bottom w:w="0" w:type="dxa"/>
            </w:tcMar>
            <w:vAlign w:val="center"/>
          </w:tcPr>
          <w:p w14:paraId="16772495" w14:textId="77777777" w:rsidR="004156D6"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73C321D2" w14:textId="77777777" w:rsidR="004156D6" w:rsidRDefault="00000000">
            <w:pPr>
              <w:keepNext/>
              <w:keepLines/>
              <w:spacing w:after="0" w:line="240" w:lineRule="auto"/>
            </w:pPr>
            <w:r>
              <w:rPr>
                <w:sz w:val="18"/>
              </w:rPr>
              <w:t>3231</w:t>
            </w:r>
          </w:p>
        </w:tc>
        <w:tc>
          <w:tcPr>
            <w:tcW w:w="1860" w:type="dxa"/>
            <w:tcMar>
              <w:top w:w="0" w:type="dxa"/>
              <w:bottom w:w="0" w:type="dxa"/>
            </w:tcMar>
            <w:vAlign w:val="center"/>
          </w:tcPr>
          <w:p w14:paraId="1FF57040" w14:textId="77777777" w:rsidR="004156D6" w:rsidRDefault="00000000">
            <w:pPr>
              <w:keepNext/>
              <w:keepLines/>
              <w:spacing w:after="0" w:line="240" w:lineRule="auto"/>
              <w:jc w:val="right"/>
            </w:pPr>
            <w:r>
              <w:rPr>
                <w:sz w:val="18"/>
              </w:rPr>
              <w:t>7.638,07</w:t>
            </w:r>
          </w:p>
        </w:tc>
        <w:tc>
          <w:tcPr>
            <w:tcW w:w="1860" w:type="dxa"/>
            <w:tcMar>
              <w:top w:w="0" w:type="dxa"/>
              <w:bottom w:w="0" w:type="dxa"/>
            </w:tcMar>
            <w:vAlign w:val="center"/>
          </w:tcPr>
          <w:p w14:paraId="25DFFD93" w14:textId="77777777" w:rsidR="004156D6" w:rsidRDefault="00000000">
            <w:pPr>
              <w:keepNext/>
              <w:keepLines/>
              <w:spacing w:after="0" w:line="240" w:lineRule="auto"/>
              <w:jc w:val="right"/>
            </w:pPr>
            <w:r>
              <w:rPr>
                <w:sz w:val="18"/>
              </w:rPr>
              <w:t>13.772,84</w:t>
            </w:r>
          </w:p>
        </w:tc>
        <w:tc>
          <w:tcPr>
            <w:tcW w:w="700" w:type="dxa"/>
            <w:tcMar>
              <w:top w:w="0" w:type="dxa"/>
              <w:bottom w:w="0" w:type="dxa"/>
            </w:tcMar>
            <w:vAlign w:val="center"/>
          </w:tcPr>
          <w:p w14:paraId="1D0FBE55" w14:textId="77777777" w:rsidR="004156D6" w:rsidRDefault="00000000">
            <w:pPr>
              <w:keepNext/>
              <w:keepLines/>
              <w:spacing w:after="0" w:line="240" w:lineRule="auto"/>
              <w:jc w:val="right"/>
            </w:pPr>
            <w:r>
              <w:rPr>
                <w:sz w:val="18"/>
              </w:rPr>
              <w:t>180,3</w:t>
            </w:r>
          </w:p>
        </w:tc>
      </w:tr>
    </w:tbl>
    <w:p w14:paraId="6C1058F0" w14:textId="77777777" w:rsidR="004156D6" w:rsidRDefault="004156D6">
      <w:pPr>
        <w:spacing w:after="0"/>
      </w:pPr>
    </w:p>
    <w:p w14:paraId="4A30CE93" w14:textId="77777777" w:rsidR="004156D6" w:rsidRDefault="00000000">
      <w:r>
        <w:t xml:space="preserve">Povećanje od 80,3% u odnosu na prethodno izvještajno razdoblje najvećim se dijelom odnosi na usluge prijevoza muzejske građe iz zgrade Muzeja u depo u </w:t>
      </w:r>
      <w:proofErr w:type="spellStart"/>
      <w:r>
        <w:t>Mandalini</w:t>
      </w:r>
      <w:proofErr w:type="spellEnd"/>
      <w:r>
        <w:t xml:space="preserve"> te na prijevoza izložbe MLJO.</w:t>
      </w:r>
    </w:p>
    <w:p w14:paraId="4D71A782" w14:textId="77777777" w:rsidR="004156D6" w:rsidRDefault="004156D6"/>
    <w:p w14:paraId="1C33F25B" w14:textId="77777777" w:rsidR="004156D6"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564679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E55584"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0E753A"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B42ED4"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753F1F"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038CBD"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3AFE9C" w14:textId="77777777" w:rsidR="004156D6" w:rsidRDefault="00000000">
            <w:pPr>
              <w:keepNext/>
              <w:keepLines/>
              <w:spacing w:after="0" w:line="240" w:lineRule="auto"/>
              <w:jc w:val="center"/>
            </w:pPr>
            <w:r>
              <w:rPr>
                <w:b/>
                <w:sz w:val="18"/>
              </w:rPr>
              <w:t>Indeks (%)</w:t>
            </w:r>
          </w:p>
        </w:tc>
      </w:tr>
      <w:tr w:rsidR="004156D6" w14:paraId="7AF09F9C" w14:textId="77777777">
        <w:tblPrEx>
          <w:tblCellMar>
            <w:top w:w="0" w:type="dxa"/>
            <w:bottom w:w="0" w:type="dxa"/>
          </w:tblCellMar>
        </w:tblPrEx>
        <w:trPr>
          <w:cantSplit/>
          <w:trHeight w:val="560"/>
        </w:trPr>
        <w:tc>
          <w:tcPr>
            <w:tcW w:w="700" w:type="dxa"/>
            <w:tcMar>
              <w:top w:w="0" w:type="dxa"/>
              <w:bottom w:w="0" w:type="dxa"/>
            </w:tcMar>
            <w:vAlign w:val="center"/>
          </w:tcPr>
          <w:p w14:paraId="68A61FCE" w14:textId="77777777" w:rsidR="004156D6" w:rsidRDefault="00000000">
            <w:pPr>
              <w:keepNext/>
              <w:keepLines/>
              <w:spacing w:after="0" w:line="240" w:lineRule="auto"/>
            </w:pPr>
            <w:r>
              <w:rPr>
                <w:sz w:val="18"/>
              </w:rPr>
              <w:t>3232</w:t>
            </w:r>
          </w:p>
        </w:tc>
        <w:tc>
          <w:tcPr>
            <w:tcW w:w="3180" w:type="dxa"/>
            <w:tcMar>
              <w:top w:w="0" w:type="dxa"/>
              <w:bottom w:w="0" w:type="dxa"/>
            </w:tcMar>
            <w:vAlign w:val="center"/>
          </w:tcPr>
          <w:p w14:paraId="481F0B56" w14:textId="77777777" w:rsidR="004156D6"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6A02B27D" w14:textId="77777777" w:rsidR="004156D6" w:rsidRDefault="00000000">
            <w:pPr>
              <w:keepNext/>
              <w:keepLines/>
              <w:spacing w:after="0" w:line="240" w:lineRule="auto"/>
            </w:pPr>
            <w:r>
              <w:rPr>
                <w:sz w:val="18"/>
              </w:rPr>
              <w:t>3232</w:t>
            </w:r>
          </w:p>
        </w:tc>
        <w:tc>
          <w:tcPr>
            <w:tcW w:w="1860" w:type="dxa"/>
            <w:tcMar>
              <w:top w:w="0" w:type="dxa"/>
              <w:bottom w:w="0" w:type="dxa"/>
            </w:tcMar>
            <w:vAlign w:val="center"/>
          </w:tcPr>
          <w:p w14:paraId="048653DC" w14:textId="77777777" w:rsidR="004156D6" w:rsidRDefault="00000000">
            <w:pPr>
              <w:keepNext/>
              <w:keepLines/>
              <w:spacing w:after="0" w:line="240" w:lineRule="auto"/>
              <w:jc w:val="right"/>
            </w:pPr>
            <w:r>
              <w:rPr>
                <w:sz w:val="18"/>
              </w:rPr>
              <w:t>39.355,55</w:t>
            </w:r>
          </w:p>
        </w:tc>
        <w:tc>
          <w:tcPr>
            <w:tcW w:w="1860" w:type="dxa"/>
            <w:tcMar>
              <w:top w:w="0" w:type="dxa"/>
              <w:bottom w:w="0" w:type="dxa"/>
            </w:tcMar>
            <w:vAlign w:val="center"/>
          </w:tcPr>
          <w:p w14:paraId="304BC85C" w14:textId="77777777" w:rsidR="004156D6" w:rsidRDefault="00000000">
            <w:pPr>
              <w:keepNext/>
              <w:keepLines/>
              <w:spacing w:after="0" w:line="240" w:lineRule="auto"/>
              <w:jc w:val="right"/>
            </w:pPr>
            <w:r>
              <w:rPr>
                <w:sz w:val="18"/>
              </w:rPr>
              <w:t>48.649,52</w:t>
            </w:r>
          </w:p>
        </w:tc>
        <w:tc>
          <w:tcPr>
            <w:tcW w:w="700" w:type="dxa"/>
            <w:tcMar>
              <w:top w:w="0" w:type="dxa"/>
              <w:bottom w:w="0" w:type="dxa"/>
            </w:tcMar>
            <w:vAlign w:val="center"/>
          </w:tcPr>
          <w:p w14:paraId="6652360E" w14:textId="77777777" w:rsidR="004156D6" w:rsidRDefault="00000000">
            <w:pPr>
              <w:keepNext/>
              <w:keepLines/>
              <w:spacing w:after="0" w:line="240" w:lineRule="auto"/>
              <w:jc w:val="right"/>
            </w:pPr>
            <w:r>
              <w:rPr>
                <w:sz w:val="18"/>
              </w:rPr>
              <w:t>123,6</w:t>
            </w:r>
          </w:p>
        </w:tc>
      </w:tr>
    </w:tbl>
    <w:p w14:paraId="7C280C6B" w14:textId="77777777" w:rsidR="004156D6" w:rsidRDefault="004156D6">
      <w:pPr>
        <w:spacing w:after="0"/>
      </w:pPr>
    </w:p>
    <w:p w14:paraId="277162AD" w14:textId="77777777" w:rsidR="004156D6" w:rsidRDefault="00000000">
      <w:r>
        <w:t>Zbog učestalih popravaka sustava grijanja u prvoj polovici godine, pripreme depoa za prihvat građe iz zgrade Muzeja te zbog sanacijskih radova na arheološkim lokalitetima ova stavka bilježi povećanje od 23,6% u odnosu na prethodno izvještajno razdoblje.</w:t>
      </w:r>
    </w:p>
    <w:p w14:paraId="43E35FCA" w14:textId="77777777" w:rsidR="004156D6" w:rsidRDefault="004156D6"/>
    <w:p w14:paraId="04DE932A" w14:textId="77777777" w:rsidR="004156D6"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42744D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C0705F"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A3DC9B"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52F5F6"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B29511"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0D7794"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B150C5" w14:textId="77777777" w:rsidR="004156D6" w:rsidRDefault="00000000">
            <w:pPr>
              <w:keepNext/>
              <w:keepLines/>
              <w:spacing w:after="0" w:line="240" w:lineRule="auto"/>
              <w:jc w:val="center"/>
            </w:pPr>
            <w:r>
              <w:rPr>
                <w:b/>
                <w:sz w:val="18"/>
              </w:rPr>
              <w:t>Indeks (%)</w:t>
            </w:r>
          </w:p>
        </w:tc>
      </w:tr>
      <w:tr w:rsidR="004156D6" w14:paraId="76480009" w14:textId="77777777">
        <w:tblPrEx>
          <w:tblCellMar>
            <w:top w:w="0" w:type="dxa"/>
            <w:bottom w:w="0" w:type="dxa"/>
          </w:tblCellMar>
        </w:tblPrEx>
        <w:trPr>
          <w:cantSplit/>
          <w:trHeight w:val="560"/>
        </w:trPr>
        <w:tc>
          <w:tcPr>
            <w:tcW w:w="700" w:type="dxa"/>
            <w:tcMar>
              <w:top w:w="0" w:type="dxa"/>
              <w:bottom w:w="0" w:type="dxa"/>
            </w:tcMar>
            <w:vAlign w:val="center"/>
          </w:tcPr>
          <w:p w14:paraId="02CF74EA" w14:textId="77777777" w:rsidR="004156D6" w:rsidRDefault="00000000">
            <w:pPr>
              <w:keepNext/>
              <w:keepLines/>
              <w:spacing w:after="0" w:line="240" w:lineRule="auto"/>
            </w:pPr>
            <w:r>
              <w:rPr>
                <w:sz w:val="18"/>
              </w:rPr>
              <w:t>3233</w:t>
            </w:r>
          </w:p>
        </w:tc>
        <w:tc>
          <w:tcPr>
            <w:tcW w:w="3180" w:type="dxa"/>
            <w:tcMar>
              <w:top w:w="0" w:type="dxa"/>
              <w:bottom w:w="0" w:type="dxa"/>
            </w:tcMar>
            <w:vAlign w:val="center"/>
          </w:tcPr>
          <w:p w14:paraId="6BC4D6F3" w14:textId="77777777" w:rsidR="004156D6"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79770CFB" w14:textId="77777777" w:rsidR="004156D6" w:rsidRDefault="00000000">
            <w:pPr>
              <w:keepNext/>
              <w:keepLines/>
              <w:spacing w:after="0" w:line="240" w:lineRule="auto"/>
            </w:pPr>
            <w:r>
              <w:rPr>
                <w:sz w:val="18"/>
              </w:rPr>
              <w:t>3233</w:t>
            </w:r>
          </w:p>
        </w:tc>
        <w:tc>
          <w:tcPr>
            <w:tcW w:w="1860" w:type="dxa"/>
            <w:tcMar>
              <w:top w:w="0" w:type="dxa"/>
              <w:bottom w:w="0" w:type="dxa"/>
            </w:tcMar>
            <w:vAlign w:val="center"/>
          </w:tcPr>
          <w:p w14:paraId="6739EEE5" w14:textId="77777777" w:rsidR="004156D6" w:rsidRDefault="00000000">
            <w:pPr>
              <w:keepNext/>
              <w:keepLines/>
              <w:spacing w:after="0" w:line="240" w:lineRule="auto"/>
              <w:jc w:val="right"/>
            </w:pPr>
            <w:r>
              <w:rPr>
                <w:sz w:val="18"/>
              </w:rPr>
              <w:t>2.382,85</w:t>
            </w:r>
          </w:p>
        </w:tc>
        <w:tc>
          <w:tcPr>
            <w:tcW w:w="1860" w:type="dxa"/>
            <w:tcMar>
              <w:top w:w="0" w:type="dxa"/>
              <w:bottom w:w="0" w:type="dxa"/>
            </w:tcMar>
            <w:vAlign w:val="center"/>
          </w:tcPr>
          <w:p w14:paraId="348EAED1" w14:textId="77777777" w:rsidR="004156D6" w:rsidRDefault="00000000">
            <w:pPr>
              <w:keepNext/>
              <w:keepLines/>
              <w:spacing w:after="0" w:line="240" w:lineRule="auto"/>
              <w:jc w:val="right"/>
            </w:pPr>
            <w:r>
              <w:rPr>
                <w:sz w:val="18"/>
              </w:rPr>
              <w:t>11.058,91</w:t>
            </w:r>
          </w:p>
        </w:tc>
        <w:tc>
          <w:tcPr>
            <w:tcW w:w="700" w:type="dxa"/>
            <w:tcMar>
              <w:top w:w="0" w:type="dxa"/>
              <w:bottom w:w="0" w:type="dxa"/>
            </w:tcMar>
            <w:vAlign w:val="center"/>
          </w:tcPr>
          <w:p w14:paraId="60D569C8" w14:textId="77777777" w:rsidR="004156D6" w:rsidRDefault="00000000">
            <w:pPr>
              <w:keepNext/>
              <w:keepLines/>
              <w:spacing w:after="0" w:line="240" w:lineRule="auto"/>
              <w:jc w:val="right"/>
            </w:pPr>
            <w:r>
              <w:rPr>
                <w:sz w:val="18"/>
              </w:rPr>
              <w:t>464,1</w:t>
            </w:r>
          </w:p>
        </w:tc>
      </w:tr>
    </w:tbl>
    <w:p w14:paraId="43364611" w14:textId="77777777" w:rsidR="004156D6" w:rsidRDefault="004156D6">
      <w:pPr>
        <w:spacing w:after="0"/>
      </w:pPr>
    </w:p>
    <w:p w14:paraId="142ACA21" w14:textId="77777777" w:rsidR="004156D6" w:rsidRDefault="00000000">
      <w:r>
        <w:t>Povećanje od 364,1% u odnosu na prethodno izvještajno razdoblje odnosi se na usluge oglašavanja za natječaje za radna mjesta, na oglašavanje na radiju te na promidžbu i vidljivost projekta Energetske obnove Muzeja grada Šibenika.</w:t>
      </w:r>
    </w:p>
    <w:p w14:paraId="48990032" w14:textId="77777777" w:rsidR="004156D6" w:rsidRDefault="004156D6"/>
    <w:p w14:paraId="30A95E73" w14:textId="77777777" w:rsidR="004156D6"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0161A3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9924E9"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29F541"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B2AD22"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A8C81E"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120DC7"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A74DD4" w14:textId="77777777" w:rsidR="004156D6" w:rsidRDefault="00000000">
            <w:pPr>
              <w:keepNext/>
              <w:keepLines/>
              <w:spacing w:after="0" w:line="240" w:lineRule="auto"/>
              <w:jc w:val="center"/>
            </w:pPr>
            <w:r>
              <w:rPr>
                <w:b/>
                <w:sz w:val="18"/>
              </w:rPr>
              <w:t>Indeks (%)</w:t>
            </w:r>
          </w:p>
        </w:tc>
      </w:tr>
      <w:tr w:rsidR="004156D6" w14:paraId="4577A5A9" w14:textId="77777777">
        <w:tblPrEx>
          <w:tblCellMar>
            <w:top w:w="0" w:type="dxa"/>
            <w:bottom w:w="0" w:type="dxa"/>
          </w:tblCellMar>
        </w:tblPrEx>
        <w:trPr>
          <w:cantSplit/>
          <w:trHeight w:val="560"/>
        </w:trPr>
        <w:tc>
          <w:tcPr>
            <w:tcW w:w="700" w:type="dxa"/>
            <w:tcMar>
              <w:top w:w="0" w:type="dxa"/>
              <w:bottom w:w="0" w:type="dxa"/>
            </w:tcMar>
            <w:vAlign w:val="center"/>
          </w:tcPr>
          <w:p w14:paraId="19C06A93" w14:textId="77777777" w:rsidR="004156D6" w:rsidRDefault="00000000">
            <w:pPr>
              <w:keepNext/>
              <w:keepLines/>
              <w:spacing w:after="0" w:line="240" w:lineRule="auto"/>
            </w:pPr>
            <w:r>
              <w:rPr>
                <w:sz w:val="18"/>
              </w:rPr>
              <w:t>3236</w:t>
            </w:r>
          </w:p>
        </w:tc>
        <w:tc>
          <w:tcPr>
            <w:tcW w:w="3180" w:type="dxa"/>
            <w:tcMar>
              <w:top w:w="0" w:type="dxa"/>
              <w:bottom w:w="0" w:type="dxa"/>
            </w:tcMar>
            <w:vAlign w:val="center"/>
          </w:tcPr>
          <w:p w14:paraId="05C55635" w14:textId="77777777" w:rsidR="004156D6"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7E88F532" w14:textId="77777777" w:rsidR="004156D6" w:rsidRDefault="00000000">
            <w:pPr>
              <w:keepNext/>
              <w:keepLines/>
              <w:spacing w:after="0" w:line="240" w:lineRule="auto"/>
            </w:pPr>
            <w:r>
              <w:rPr>
                <w:sz w:val="18"/>
              </w:rPr>
              <w:t>3236</w:t>
            </w:r>
          </w:p>
        </w:tc>
        <w:tc>
          <w:tcPr>
            <w:tcW w:w="1860" w:type="dxa"/>
            <w:tcMar>
              <w:top w:w="0" w:type="dxa"/>
              <w:bottom w:w="0" w:type="dxa"/>
            </w:tcMar>
            <w:vAlign w:val="center"/>
          </w:tcPr>
          <w:p w14:paraId="673381B9" w14:textId="77777777" w:rsidR="004156D6" w:rsidRDefault="00000000">
            <w:pPr>
              <w:keepNext/>
              <w:keepLines/>
              <w:spacing w:after="0" w:line="240" w:lineRule="auto"/>
              <w:jc w:val="right"/>
            </w:pPr>
            <w:r>
              <w:rPr>
                <w:sz w:val="18"/>
              </w:rPr>
              <w:t>2.790,00</w:t>
            </w:r>
          </w:p>
        </w:tc>
        <w:tc>
          <w:tcPr>
            <w:tcW w:w="1860" w:type="dxa"/>
            <w:tcMar>
              <w:top w:w="0" w:type="dxa"/>
              <w:bottom w:w="0" w:type="dxa"/>
            </w:tcMar>
            <w:vAlign w:val="center"/>
          </w:tcPr>
          <w:p w14:paraId="3E0496DC" w14:textId="77777777" w:rsidR="004156D6" w:rsidRDefault="00000000">
            <w:pPr>
              <w:keepNext/>
              <w:keepLines/>
              <w:spacing w:after="0" w:line="240" w:lineRule="auto"/>
              <w:jc w:val="right"/>
            </w:pPr>
            <w:r>
              <w:rPr>
                <w:sz w:val="18"/>
              </w:rPr>
              <w:t>4.127,32</w:t>
            </w:r>
          </w:p>
        </w:tc>
        <w:tc>
          <w:tcPr>
            <w:tcW w:w="700" w:type="dxa"/>
            <w:tcMar>
              <w:top w:w="0" w:type="dxa"/>
              <w:bottom w:w="0" w:type="dxa"/>
            </w:tcMar>
            <w:vAlign w:val="center"/>
          </w:tcPr>
          <w:p w14:paraId="511C4B0A" w14:textId="77777777" w:rsidR="004156D6" w:rsidRDefault="00000000">
            <w:pPr>
              <w:keepNext/>
              <w:keepLines/>
              <w:spacing w:after="0" w:line="240" w:lineRule="auto"/>
              <w:jc w:val="right"/>
            </w:pPr>
            <w:r>
              <w:rPr>
                <w:sz w:val="18"/>
              </w:rPr>
              <w:t>147,9</w:t>
            </w:r>
          </w:p>
        </w:tc>
      </w:tr>
    </w:tbl>
    <w:p w14:paraId="1A1B14DF" w14:textId="77777777" w:rsidR="004156D6" w:rsidRDefault="004156D6">
      <w:pPr>
        <w:spacing w:after="0"/>
      </w:pPr>
    </w:p>
    <w:p w14:paraId="1BFC65A3" w14:textId="77777777" w:rsidR="004156D6" w:rsidRDefault="00000000">
      <w:r>
        <w:t xml:space="preserve">Uslijed povećanih cijena sistematskih pregleda za zaposlenike ova </w:t>
      </w:r>
      <w:proofErr w:type="spellStart"/>
      <w:r>
        <w:t>stvaka</w:t>
      </w:r>
      <w:proofErr w:type="spellEnd"/>
      <w:r>
        <w:t xml:space="preserve"> bilježi povećanje od 47,9% u odnosu na izvještajno razdoblje prethodne godine.</w:t>
      </w:r>
    </w:p>
    <w:p w14:paraId="3CD3E1A7" w14:textId="77777777" w:rsidR="004156D6" w:rsidRDefault="004156D6"/>
    <w:p w14:paraId="2784896E" w14:textId="77777777" w:rsidR="004156D6"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0308EF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98F88F"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4573F"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3E8CD"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D6BCF0"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1B336F"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90E0B2" w14:textId="77777777" w:rsidR="004156D6" w:rsidRDefault="00000000">
            <w:pPr>
              <w:keepNext/>
              <w:keepLines/>
              <w:spacing w:after="0" w:line="240" w:lineRule="auto"/>
              <w:jc w:val="center"/>
            </w:pPr>
            <w:r>
              <w:rPr>
                <w:b/>
                <w:sz w:val="18"/>
              </w:rPr>
              <w:t>Indeks (%)</w:t>
            </w:r>
          </w:p>
        </w:tc>
      </w:tr>
      <w:tr w:rsidR="004156D6" w14:paraId="46701F61" w14:textId="77777777">
        <w:tblPrEx>
          <w:tblCellMar>
            <w:top w:w="0" w:type="dxa"/>
            <w:bottom w:w="0" w:type="dxa"/>
          </w:tblCellMar>
        </w:tblPrEx>
        <w:trPr>
          <w:cantSplit/>
          <w:trHeight w:val="560"/>
        </w:trPr>
        <w:tc>
          <w:tcPr>
            <w:tcW w:w="700" w:type="dxa"/>
            <w:tcMar>
              <w:top w:w="0" w:type="dxa"/>
              <w:bottom w:w="0" w:type="dxa"/>
            </w:tcMar>
            <w:vAlign w:val="center"/>
          </w:tcPr>
          <w:p w14:paraId="08D5C526" w14:textId="77777777" w:rsidR="004156D6" w:rsidRDefault="00000000">
            <w:pPr>
              <w:keepNext/>
              <w:keepLines/>
              <w:spacing w:after="0" w:line="240" w:lineRule="auto"/>
            </w:pPr>
            <w:r>
              <w:rPr>
                <w:sz w:val="18"/>
              </w:rPr>
              <w:t>3237</w:t>
            </w:r>
          </w:p>
        </w:tc>
        <w:tc>
          <w:tcPr>
            <w:tcW w:w="3180" w:type="dxa"/>
            <w:tcMar>
              <w:top w:w="0" w:type="dxa"/>
              <w:bottom w:w="0" w:type="dxa"/>
            </w:tcMar>
            <w:vAlign w:val="center"/>
          </w:tcPr>
          <w:p w14:paraId="0BF8FE27" w14:textId="77777777" w:rsidR="004156D6"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6A3AE33E" w14:textId="77777777" w:rsidR="004156D6" w:rsidRDefault="00000000">
            <w:pPr>
              <w:keepNext/>
              <w:keepLines/>
              <w:spacing w:after="0" w:line="240" w:lineRule="auto"/>
            </w:pPr>
            <w:r>
              <w:rPr>
                <w:sz w:val="18"/>
              </w:rPr>
              <w:t>3237</w:t>
            </w:r>
          </w:p>
        </w:tc>
        <w:tc>
          <w:tcPr>
            <w:tcW w:w="1860" w:type="dxa"/>
            <w:tcMar>
              <w:top w:w="0" w:type="dxa"/>
              <w:bottom w:w="0" w:type="dxa"/>
            </w:tcMar>
            <w:vAlign w:val="center"/>
          </w:tcPr>
          <w:p w14:paraId="702C9E3C" w14:textId="77777777" w:rsidR="004156D6" w:rsidRDefault="00000000">
            <w:pPr>
              <w:keepNext/>
              <w:keepLines/>
              <w:spacing w:after="0" w:line="240" w:lineRule="auto"/>
              <w:jc w:val="right"/>
            </w:pPr>
            <w:r>
              <w:rPr>
                <w:sz w:val="18"/>
              </w:rPr>
              <w:t>69.269,14</w:t>
            </w:r>
          </w:p>
        </w:tc>
        <w:tc>
          <w:tcPr>
            <w:tcW w:w="1860" w:type="dxa"/>
            <w:tcMar>
              <w:top w:w="0" w:type="dxa"/>
              <w:bottom w:w="0" w:type="dxa"/>
            </w:tcMar>
            <w:vAlign w:val="center"/>
          </w:tcPr>
          <w:p w14:paraId="7ABF5F80" w14:textId="77777777" w:rsidR="004156D6" w:rsidRDefault="00000000">
            <w:pPr>
              <w:keepNext/>
              <w:keepLines/>
              <w:spacing w:after="0" w:line="240" w:lineRule="auto"/>
              <w:jc w:val="right"/>
            </w:pPr>
            <w:r>
              <w:rPr>
                <w:sz w:val="18"/>
              </w:rPr>
              <w:t>90.852,27</w:t>
            </w:r>
          </w:p>
        </w:tc>
        <w:tc>
          <w:tcPr>
            <w:tcW w:w="700" w:type="dxa"/>
            <w:tcMar>
              <w:top w:w="0" w:type="dxa"/>
              <w:bottom w:w="0" w:type="dxa"/>
            </w:tcMar>
            <w:vAlign w:val="center"/>
          </w:tcPr>
          <w:p w14:paraId="1ABFAD82" w14:textId="77777777" w:rsidR="004156D6" w:rsidRDefault="00000000">
            <w:pPr>
              <w:keepNext/>
              <w:keepLines/>
              <w:spacing w:after="0" w:line="240" w:lineRule="auto"/>
              <w:jc w:val="right"/>
            </w:pPr>
            <w:r>
              <w:rPr>
                <w:sz w:val="18"/>
              </w:rPr>
              <w:t>131,2</w:t>
            </w:r>
          </w:p>
        </w:tc>
      </w:tr>
    </w:tbl>
    <w:p w14:paraId="5670AD32" w14:textId="77777777" w:rsidR="004156D6" w:rsidRDefault="004156D6">
      <w:pPr>
        <w:spacing w:after="0"/>
      </w:pPr>
    </w:p>
    <w:p w14:paraId="3BB132A7" w14:textId="77777777" w:rsidR="004156D6" w:rsidRDefault="00000000">
      <w:r>
        <w:lastRenderedPageBreak/>
        <w:t xml:space="preserve">Povećanje od 31,2% najvećim se dijelom odnosi na angažiranje radnika za rad na arheološkim lokalitetima preko ugovora o djelu te na angažiranje radnika u depou </w:t>
      </w:r>
      <w:proofErr w:type="spellStart"/>
      <w:r>
        <w:t>Mandalina</w:t>
      </w:r>
      <w:proofErr w:type="spellEnd"/>
      <w:r>
        <w:t xml:space="preserve"> za prihvat i razvrstavanje građe iz zgrade Muzeja.</w:t>
      </w:r>
    </w:p>
    <w:p w14:paraId="17F10231" w14:textId="77777777" w:rsidR="004156D6" w:rsidRDefault="004156D6"/>
    <w:p w14:paraId="13EDDD42" w14:textId="77777777" w:rsidR="004156D6"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326A6C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4DDD15"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2739A1"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DACEE0"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3F24BE"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715DCD"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282D9B" w14:textId="77777777" w:rsidR="004156D6" w:rsidRDefault="00000000">
            <w:pPr>
              <w:keepNext/>
              <w:keepLines/>
              <w:spacing w:after="0" w:line="240" w:lineRule="auto"/>
              <w:jc w:val="center"/>
            </w:pPr>
            <w:r>
              <w:rPr>
                <w:b/>
                <w:sz w:val="18"/>
              </w:rPr>
              <w:t>Indeks (%)</w:t>
            </w:r>
          </w:p>
        </w:tc>
      </w:tr>
      <w:tr w:rsidR="004156D6" w14:paraId="6FEC210F" w14:textId="77777777">
        <w:tblPrEx>
          <w:tblCellMar>
            <w:top w:w="0" w:type="dxa"/>
            <w:bottom w:w="0" w:type="dxa"/>
          </w:tblCellMar>
        </w:tblPrEx>
        <w:trPr>
          <w:cantSplit/>
          <w:trHeight w:val="560"/>
        </w:trPr>
        <w:tc>
          <w:tcPr>
            <w:tcW w:w="700" w:type="dxa"/>
            <w:tcMar>
              <w:top w:w="0" w:type="dxa"/>
              <w:bottom w:w="0" w:type="dxa"/>
            </w:tcMar>
            <w:vAlign w:val="center"/>
          </w:tcPr>
          <w:p w14:paraId="37D5FD62" w14:textId="77777777" w:rsidR="004156D6" w:rsidRDefault="00000000">
            <w:pPr>
              <w:keepNext/>
              <w:keepLines/>
              <w:spacing w:after="0" w:line="240" w:lineRule="auto"/>
            </w:pPr>
            <w:r>
              <w:rPr>
                <w:sz w:val="18"/>
              </w:rPr>
              <w:t>3239</w:t>
            </w:r>
          </w:p>
        </w:tc>
        <w:tc>
          <w:tcPr>
            <w:tcW w:w="3180" w:type="dxa"/>
            <w:tcMar>
              <w:top w:w="0" w:type="dxa"/>
              <w:bottom w:w="0" w:type="dxa"/>
            </w:tcMar>
            <w:vAlign w:val="center"/>
          </w:tcPr>
          <w:p w14:paraId="2766687A" w14:textId="77777777" w:rsidR="004156D6" w:rsidRDefault="00000000">
            <w:pPr>
              <w:keepNext/>
              <w:keepLines/>
              <w:spacing w:after="0" w:line="240" w:lineRule="auto"/>
            </w:pPr>
            <w:r>
              <w:rPr>
                <w:sz w:val="18"/>
              </w:rPr>
              <w:t>Ostale usluge</w:t>
            </w:r>
          </w:p>
        </w:tc>
        <w:tc>
          <w:tcPr>
            <w:tcW w:w="700" w:type="dxa"/>
            <w:tcMar>
              <w:top w:w="0" w:type="dxa"/>
              <w:bottom w:w="0" w:type="dxa"/>
            </w:tcMar>
            <w:vAlign w:val="center"/>
          </w:tcPr>
          <w:p w14:paraId="1EC2DBED" w14:textId="77777777" w:rsidR="004156D6" w:rsidRDefault="00000000">
            <w:pPr>
              <w:keepNext/>
              <w:keepLines/>
              <w:spacing w:after="0" w:line="240" w:lineRule="auto"/>
            </w:pPr>
            <w:r>
              <w:rPr>
                <w:sz w:val="18"/>
              </w:rPr>
              <w:t>3239</w:t>
            </w:r>
          </w:p>
        </w:tc>
        <w:tc>
          <w:tcPr>
            <w:tcW w:w="1860" w:type="dxa"/>
            <w:tcMar>
              <w:top w:w="0" w:type="dxa"/>
              <w:bottom w:w="0" w:type="dxa"/>
            </w:tcMar>
            <w:vAlign w:val="center"/>
          </w:tcPr>
          <w:p w14:paraId="347BD124" w14:textId="77777777" w:rsidR="004156D6" w:rsidRDefault="00000000">
            <w:pPr>
              <w:keepNext/>
              <w:keepLines/>
              <w:spacing w:after="0" w:line="240" w:lineRule="auto"/>
              <w:jc w:val="right"/>
            </w:pPr>
            <w:r>
              <w:rPr>
                <w:sz w:val="18"/>
              </w:rPr>
              <w:t>37.938,85</w:t>
            </w:r>
          </w:p>
        </w:tc>
        <w:tc>
          <w:tcPr>
            <w:tcW w:w="1860" w:type="dxa"/>
            <w:tcMar>
              <w:top w:w="0" w:type="dxa"/>
              <w:bottom w:w="0" w:type="dxa"/>
            </w:tcMar>
            <w:vAlign w:val="center"/>
          </w:tcPr>
          <w:p w14:paraId="0D1314D8" w14:textId="77777777" w:rsidR="004156D6" w:rsidRDefault="00000000">
            <w:pPr>
              <w:keepNext/>
              <w:keepLines/>
              <w:spacing w:after="0" w:line="240" w:lineRule="auto"/>
              <w:jc w:val="right"/>
            </w:pPr>
            <w:r>
              <w:rPr>
                <w:sz w:val="18"/>
              </w:rPr>
              <w:t>115.731,79</w:t>
            </w:r>
          </w:p>
        </w:tc>
        <w:tc>
          <w:tcPr>
            <w:tcW w:w="700" w:type="dxa"/>
            <w:tcMar>
              <w:top w:w="0" w:type="dxa"/>
              <w:bottom w:w="0" w:type="dxa"/>
            </w:tcMar>
            <w:vAlign w:val="center"/>
          </w:tcPr>
          <w:p w14:paraId="30134FE0" w14:textId="77777777" w:rsidR="004156D6" w:rsidRDefault="00000000">
            <w:pPr>
              <w:keepNext/>
              <w:keepLines/>
              <w:spacing w:after="0" w:line="240" w:lineRule="auto"/>
              <w:jc w:val="right"/>
            </w:pPr>
            <w:r>
              <w:rPr>
                <w:sz w:val="18"/>
              </w:rPr>
              <w:t>305,0</w:t>
            </w:r>
          </w:p>
        </w:tc>
      </w:tr>
    </w:tbl>
    <w:p w14:paraId="50BD30BD" w14:textId="77777777" w:rsidR="004156D6" w:rsidRDefault="004156D6">
      <w:pPr>
        <w:spacing w:after="0"/>
      </w:pPr>
    </w:p>
    <w:p w14:paraId="050398E8" w14:textId="77777777" w:rsidR="004156D6" w:rsidRDefault="00000000">
      <w:r>
        <w:t xml:space="preserve">Povećanje od 205% najvećim se dijelom odnosi na digitalizaciju zbirke oružja Muzeja grada Šibenika, izradu </w:t>
      </w:r>
      <w:proofErr w:type="spellStart"/>
      <w:r>
        <w:t>obljetničkih</w:t>
      </w:r>
      <w:proofErr w:type="spellEnd"/>
      <w:r>
        <w:t xml:space="preserve"> kovanica povodom 100-te obljetnice Muzeja grada Šibenika te na usluge izrade slika i dokumentarnog filma također povodom 100-te obljetnice Muzeja .</w:t>
      </w:r>
    </w:p>
    <w:p w14:paraId="760DB260" w14:textId="77777777" w:rsidR="004156D6" w:rsidRDefault="004156D6"/>
    <w:p w14:paraId="068112A0" w14:textId="77777777" w:rsidR="004156D6"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212C28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B44072"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19115B"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BBB5E2"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3D9989"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37EEF8"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D75D89" w14:textId="77777777" w:rsidR="004156D6" w:rsidRDefault="00000000">
            <w:pPr>
              <w:keepNext/>
              <w:keepLines/>
              <w:spacing w:after="0" w:line="240" w:lineRule="auto"/>
              <w:jc w:val="center"/>
            </w:pPr>
            <w:r>
              <w:rPr>
                <w:b/>
                <w:sz w:val="18"/>
              </w:rPr>
              <w:t>Indeks (%)</w:t>
            </w:r>
          </w:p>
        </w:tc>
      </w:tr>
      <w:tr w:rsidR="004156D6" w14:paraId="47FEFD5C" w14:textId="77777777">
        <w:tblPrEx>
          <w:tblCellMar>
            <w:top w:w="0" w:type="dxa"/>
            <w:bottom w:w="0" w:type="dxa"/>
          </w:tblCellMar>
        </w:tblPrEx>
        <w:trPr>
          <w:cantSplit/>
          <w:trHeight w:val="560"/>
        </w:trPr>
        <w:tc>
          <w:tcPr>
            <w:tcW w:w="700" w:type="dxa"/>
            <w:tcMar>
              <w:top w:w="0" w:type="dxa"/>
              <w:bottom w:w="0" w:type="dxa"/>
            </w:tcMar>
            <w:vAlign w:val="center"/>
          </w:tcPr>
          <w:p w14:paraId="361AF7F7" w14:textId="77777777" w:rsidR="004156D6" w:rsidRDefault="00000000">
            <w:pPr>
              <w:keepNext/>
              <w:keepLines/>
              <w:spacing w:after="0" w:line="240" w:lineRule="auto"/>
            </w:pPr>
            <w:r>
              <w:rPr>
                <w:sz w:val="18"/>
              </w:rPr>
              <w:t>3292</w:t>
            </w:r>
          </w:p>
        </w:tc>
        <w:tc>
          <w:tcPr>
            <w:tcW w:w="3180" w:type="dxa"/>
            <w:tcMar>
              <w:top w:w="0" w:type="dxa"/>
              <w:bottom w:w="0" w:type="dxa"/>
            </w:tcMar>
            <w:vAlign w:val="center"/>
          </w:tcPr>
          <w:p w14:paraId="43A7986B" w14:textId="77777777" w:rsidR="004156D6" w:rsidRDefault="00000000">
            <w:pPr>
              <w:keepNext/>
              <w:keepLines/>
              <w:spacing w:after="0" w:line="240" w:lineRule="auto"/>
            </w:pPr>
            <w:r>
              <w:rPr>
                <w:sz w:val="18"/>
              </w:rPr>
              <w:t>Premije osiguranja</w:t>
            </w:r>
          </w:p>
        </w:tc>
        <w:tc>
          <w:tcPr>
            <w:tcW w:w="700" w:type="dxa"/>
            <w:tcMar>
              <w:top w:w="0" w:type="dxa"/>
              <w:bottom w:w="0" w:type="dxa"/>
            </w:tcMar>
            <w:vAlign w:val="center"/>
          </w:tcPr>
          <w:p w14:paraId="0F8F2AF9" w14:textId="77777777" w:rsidR="004156D6" w:rsidRDefault="00000000">
            <w:pPr>
              <w:keepNext/>
              <w:keepLines/>
              <w:spacing w:after="0" w:line="240" w:lineRule="auto"/>
            </w:pPr>
            <w:r>
              <w:rPr>
                <w:sz w:val="18"/>
              </w:rPr>
              <w:t>3292</w:t>
            </w:r>
          </w:p>
        </w:tc>
        <w:tc>
          <w:tcPr>
            <w:tcW w:w="1860" w:type="dxa"/>
            <w:tcMar>
              <w:top w:w="0" w:type="dxa"/>
              <w:bottom w:w="0" w:type="dxa"/>
            </w:tcMar>
            <w:vAlign w:val="center"/>
          </w:tcPr>
          <w:p w14:paraId="02704DBB" w14:textId="77777777" w:rsidR="004156D6" w:rsidRDefault="00000000">
            <w:pPr>
              <w:keepNext/>
              <w:keepLines/>
              <w:spacing w:after="0" w:line="240" w:lineRule="auto"/>
              <w:jc w:val="right"/>
            </w:pPr>
            <w:r>
              <w:rPr>
                <w:sz w:val="18"/>
              </w:rPr>
              <w:t>9.204,70</w:t>
            </w:r>
          </w:p>
        </w:tc>
        <w:tc>
          <w:tcPr>
            <w:tcW w:w="1860" w:type="dxa"/>
            <w:tcMar>
              <w:top w:w="0" w:type="dxa"/>
              <w:bottom w:w="0" w:type="dxa"/>
            </w:tcMar>
            <w:vAlign w:val="center"/>
          </w:tcPr>
          <w:p w14:paraId="2962A60C" w14:textId="77777777" w:rsidR="004156D6" w:rsidRDefault="00000000">
            <w:pPr>
              <w:keepNext/>
              <w:keepLines/>
              <w:spacing w:after="0" w:line="240" w:lineRule="auto"/>
              <w:jc w:val="right"/>
            </w:pPr>
            <w:r>
              <w:rPr>
                <w:sz w:val="18"/>
              </w:rPr>
              <w:t>7.375,77</w:t>
            </w:r>
          </w:p>
        </w:tc>
        <w:tc>
          <w:tcPr>
            <w:tcW w:w="700" w:type="dxa"/>
            <w:tcMar>
              <w:top w:w="0" w:type="dxa"/>
              <w:bottom w:w="0" w:type="dxa"/>
            </w:tcMar>
            <w:vAlign w:val="center"/>
          </w:tcPr>
          <w:p w14:paraId="4888ED28" w14:textId="77777777" w:rsidR="004156D6" w:rsidRDefault="00000000">
            <w:pPr>
              <w:keepNext/>
              <w:keepLines/>
              <w:spacing w:after="0" w:line="240" w:lineRule="auto"/>
              <w:jc w:val="right"/>
            </w:pPr>
            <w:r>
              <w:rPr>
                <w:sz w:val="18"/>
              </w:rPr>
              <w:t>80,1</w:t>
            </w:r>
          </w:p>
        </w:tc>
      </w:tr>
    </w:tbl>
    <w:p w14:paraId="1C4A867E" w14:textId="77777777" w:rsidR="004156D6" w:rsidRDefault="004156D6">
      <w:pPr>
        <w:spacing w:after="0"/>
      </w:pPr>
    </w:p>
    <w:p w14:paraId="721661F8" w14:textId="77777777" w:rsidR="004156D6" w:rsidRDefault="00000000">
      <w:r>
        <w:t>Smanjenje stavke od 19,9% u odnosu na prethodno razdoblje odnosi se na smanjenje premija osiguranja za izložbe koje gostuju u Muzeju grada Šibenika.</w:t>
      </w:r>
    </w:p>
    <w:p w14:paraId="5FB94AE6" w14:textId="77777777" w:rsidR="004156D6" w:rsidRDefault="004156D6"/>
    <w:p w14:paraId="627B314B" w14:textId="77777777" w:rsidR="004156D6"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1CB665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1EFEFC"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28E33C"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A25EE5"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1F58D2"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9F6421"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D118F0" w14:textId="77777777" w:rsidR="004156D6" w:rsidRDefault="00000000">
            <w:pPr>
              <w:keepNext/>
              <w:keepLines/>
              <w:spacing w:after="0" w:line="240" w:lineRule="auto"/>
              <w:jc w:val="center"/>
            </w:pPr>
            <w:r>
              <w:rPr>
                <w:b/>
                <w:sz w:val="18"/>
              </w:rPr>
              <w:t>Indeks (%)</w:t>
            </w:r>
          </w:p>
        </w:tc>
      </w:tr>
      <w:tr w:rsidR="004156D6" w14:paraId="7BBC1359" w14:textId="77777777">
        <w:tblPrEx>
          <w:tblCellMar>
            <w:top w:w="0" w:type="dxa"/>
            <w:bottom w:w="0" w:type="dxa"/>
          </w:tblCellMar>
        </w:tblPrEx>
        <w:trPr>
          <w:cantSplit/>
          <w:trHeight w:val="560"/>
        </w:trPr>
        <w:tc>
          <w:tcPr>
            <w:tcW w:w="700" w:type="dxa"/>
            <w:tcMar>
              <w:top w:w="0" w:type="dxa"/>
              <w:bottom w:w="0" w:type="dxa"/>
            </w:tcMar>
            <w:vAlign w:val="center"/>
          </w:tcPr>
          <w:p w14:paraId="1C640063" w14:textId="77777777" w:rsidR="004156D6" w:rsidRDefault="00000000">
            <w:pPr>
              <w:keepNext/>
              <w:keepLines/>
              <w:spacing w:after="0" w:line="240" w:lineRule="auto"/>
            </w:pPr>
            <w:r>
              <w:rPr>
                <w:sz w:val="18"/>
              </w:rPr>
              <w:t>3293</w:t>
            </w:r>
          </w:p>
        </w:tc>
        <w:tc>
          <w:tcPr>
            <w:tcW w:w="3180" w:type="dxa"/>
            <w:tcMar>
              <w:top w:w="0" w:type="dxa"/>
              <w:bottom w:w="0" w:type="dxa"/>
            </w:tcMar>
            <w:vAlign w:val="center"/>
          </w:tcPr>
          <w:p w14:paraId="436FA816" w14:textId="77777777" w:rsidR="004156D6" w:rsidRDefault="00000000">
            <w:pPr>
              <w:keepNext/>
              <w:keepLines/>
              <w:spacing w:after="0" w:line="240" w:lineRule="auto"/>
            </w:pPr>
            <w:r>
              <w:rPr>
                <w:sz w:val="18"/>
              </w:rPr>
              <w:t>Reprezentacija</w:t>
            </w:r>
          </w:p>
        </w:tc>
        <w:tc>
          <w:tcPr>
            <w:tcW w:w="700" w:type="dxa"/>
            <w:tcMar>
              <w:top w:w="0" w:type="dxa"/>
              <w:bottom w:w="0" w:type="dxa"/>
            </w:tcMar>
            <w:vAlign w:val="center"/>
          </w:tcPr>
          <w:p w14:paraId="2D9030D4" w14:textId="77777777" w:rsidR="004156D6" w:rsidRDefault="00000000">
            <w:pPr>
              <w:keepNext/>
              <w:keepLines/>
              <w:spacing w:after="0" w:line="240" w:lineRule="auto"/>
            </w:pPr>
            <w:r>
              <w:rPr>
                <w:sz w:val="18"/>
              </w:rPr>
              <w:t>3293</w:t>
            </w:r>
          </w:p>
        </w:tc>
        <w:tc>
          <w:tcPr>
            <w:tcW w:w="1860" w:type="dxa"/>
            <w:tcMar>
              <w:top w:w="0" w:type="dxa"/>
              <w:bottom w:w="0" w:type="dxa"/>
            </w:tcMar>
            <w:vAlign w:val="center"/>
          </w:tcPr>
          <w:p w14:paraId="0FAE10E2" w14:textId="77777777" w:rsidR="004156D6" w:rsidRDefault="00000000">
            <w:pPr>
              <w:keepNext/>
              <w:keepLines/>
              <w:spacing w:after="0" w:line="240" w:lineRule="auto"/>
              <w:jc w:val="right"/>
            </w:pPr>
            <w:r>
              <w:rPr>
                <w:sz w:val="18"/>
              </w:rPr>
              <w:t>3.573,00</w:t>
            </w:r>
          </w:p>
        </w:tc>
        <w:tc>
          <w:tcPr>
            <w:tcW w:w="1860" w:type="dxa"/>
            <w:tcMar>
              <w:top w:w="0" w:type="dxa"/>
              <w:bottom w:w="0" w:type="dxa"/>
            </w:tcMar>
            <w:vAlign w:val="center"/>
          </w:tcPr>
          <w:p w14:paraId="23CA55BE" w14:textId="77777777" w:rsidR="004156D6" w:rsidRDefault="00000000">
            <w:pPr>
              <w:keepNext/>
              <w:keepLines/>
              <w:spacing w:after="0" w:line="240" w:lineRule="auto"/>
              <w:jc w:val="right"/>
            </w:pPr>
            <w:r>
              <w:rPr>
                <w:sz w:val="18"/>
              </w:rPr>
              <w:t>8.913,27</w:t>
            </w:r>
          </w:p>
        </w:tc>
        <w:tc>
          <w:tcPr>
            <w:tcW w:w="700" w:type="dxa"/>
            <w:tcMar>
              <w:top w:w="0" w:type="dxa"/>
              <w:bottom w:w="0" w:type="dxa"/>
            </w:tcMar>
            <w:vAlign w:val="center"/>
          </w:tcPr>
          <w:p w14:paraId="244810DF" w14:textId="77777777" w:rsidR="004156D6" w:rsidRDefault="00000000">
            <w:pPr>
              <w:keepNext/>
              <w:keepLines/>
              <w:spacing w:after="0" w:line="240" w:lineRule="auto"/>
              <w:jc w:val="right"/>
            </w:pPr>
            <w:r>
              <w:rPr>
                <w:sz w:val="18"/>
              </w:rPr>
              <w:t>249,5</w:t>
            </w:r>
          </w:p>
        </w:tc>
      </w:tr>
    </w:tbl>
    <w:p w14:paraId="793F4373" w14:textId="77777777" w:rsidR="004156D6" w:rsidRDefault="004156D6">
      <w:pPr>
        <w:spacing w:after="0"/>
      </w:pPr>
    </w:p>
    <w:p w14:paraId="0B0B9861" w14:textId="77777777" w:rsidR="004156D6" w:rsidRDefault="00000000">
      <w:r>
        <w:t>Povećanje od 149,5% odnosi se na rashod za svečani domjenak povodom 100-te obljetnice Muzeja grada Šibenika.</w:t>
      </w:r>
    </w:p>
    <w:p w14:paraId="56E16F9E" w14:textId="77777777" w:rsidR="004156D6" w:rsidRDefault="004156D6"/>
    <w:p w14:paraId="2183EAF3" w14:textId="77777777" w:rsidR="004156D6"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104469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D92AFE"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532D64"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010403"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03A0C8"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3C139E"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C94AB9" w14:textId="77777777" w:rsidR="004156D6" w:rsidRDefault="00000000">
            <w:pPr>
              <w:keepNext/>
              <w:keepLines/>
              <w:spacing w:after="0" w:line="240" w:lineRule="auto"/>
              <w:jc w:val="center"/>
            </w:pPr>
            <w:r>
              <w:rPr>
                <w:b/>
                <w:sz w:val="18"/>
              </w:rPr>
              <w:t>Indeks (%)</w:t>
            </w:r>
          </w:p>
        </w:tc>
      </w:tr>
      <w:tr w:rsidR="004156D6" w14:paraId="22F0149E" w14:textId="77777777">
        <w:tblPrEx>
          <w:tblCellMar>
            <w:top w:w="0" w:type="dxa"/>
            <w:bottom w:w="0" w:type="dxa"/>
          </w:tblCellMar>
        </w:tblPrEx>
        <w:trPr>
          <w:cantSplit/>
          <w:trHeight w:val="560"/>
        </w:trPr>
        <w:tc>
          <w:tcPr>
            <w:tcW w:w="700" w:type="dxa"/>
            <w:tcMar>
              <w:top w:w="0" w:type="dxa"/>
              <w:bottom w:w="0" w:type="dxa"/>
            </w:tcMar>
            <w:vAlign w:val="center"/>
          </w:tcPr>
          <w:p w14:paraId="2B821398" w14:textId="77777777" w:rsidR="004156D6" w:rsidRDefault="00000000">
            <w:pPr>
              <w:keepNext/>
              <w:keepLines/>
              <w:spacing w:after="0" w:line="240" w:lineRule="auto"/>
            </w:pPr>
            <w:r>
              <w:rPr>
                <w:sz w:val="18"/>
              </w:rPr>
              <w:t>3295</w:t>
            </w:r>
          </w:p>
        </w:tc>
        <w:tc>
          <w:tcPr>
            <w:tcW w:w="3180" w:type="dxa"/>
            <w:tcMar>
              <w:top w:w="0" w:type="dxa"/>
              <w:bottom w:w="0" w:type="dxa"/>
            </w:tcMar>
            <w:vAlign w:val="center"/>
          </w:tcPr>
          <w:p w14:paraId="38368AAE" w14:textId="77777777" w:rsidR="004156D6" w:rsidRDefault="00000000">
            <w:pPr>
              <w:keepNext/>
              <w:keepLines/>
              <w:spacing w:after="0" w:line="240" w:lineRule="auto"/>
            </w:pPr>
            <w:r>
              <w:rPr>
                <w:sz w:val="18"/>
              </w:rPr>
              <w:t>Pristojbe i naknade</w:t>
            </w:r>
          </w:p>
        </w:tc>
        <w:tc>
          <w:tcPr>
            <w:tcW w:w="700" w:type="dxa"/>
            <w:tcMar>
              <w:top w:w="0" w:type="dxa"/>
              <w:bottom w:w="0" w:type="dxa"/>
            </w:tcMar>
            <w:vAlign w:val="center"/>
          </w:tcPr>
          <w:p w14:paraId="1F731499" w14:textId="77777777" w:rsidR="004156D6" w:rsidRDefault="00000000">
            <w:pPr>
              <w:keepNext/>
              <w:keepLines/>
              <w:spacing w:after="0" w:line="240" w:lineRule="auto"/>
            </w:pPr>
            <w:r>
              <w:rPr>
                <w:sz w:val="18"/>
              </w:rPr>
              <w:t>3295</w:t>
            </w:r>
          </w:p>
        </w:tc>
        <w:tc>
          <w:tcPr>
            <w:tcW w:w="1860" w:type="dxa"/>
            <w:tcMar>
              <w:top w:w="0" w:type="dxa"/>
              <w:bottom w:w="0" w:type="dxa"/>
            </w:tcMar>
            <w:vAlign w:val="center"/>
          </w:tcPr>
          <w:p w14:paraId="1CE9EDD4" w14:textId="77777777" w:rsidR="004156D6" w:rsidRDefault="00000000">
            <w:pPr>
              <w:keepNext/>
              <w:keepLines/>
              <w:spacing w:after="0" w:line="240" w:lineRule="auto"/>
              <w:jc w:val="right"/>
            </w:pPr>
            <w:r>
              <w:rPr>
                <w:sz w:val="18"/>
              </w:rPr>
              <w:t>272,94</w:t>
            </w:r>
          </w:p>
        </w:tc>
        <w:tc>
          <w:tcPr>
            <w:tcW w:w="1860" w:type="dxa"/>
            <w:tcMar>
              <w:top w:w="0" w:type="dxa"/>
              <w:bottom w:w="0" w:type="dxa"/>
            </w:tcMar>
            <w:vAlign w:val="center"/>
          </w:tcPr>
          <w:p w14:paraId="555592FD" w14:textId="77777777" w:rsidR="004156D6" w:rsidRDefault="00000000">
            <w:pPr>
              <w:keepNext/>
              <w:keepLines/>
              <w:spacing w:after="0" w:line="240" w:lineRule="auto"/>
              <w:jc w:val="right"/>
            </w:pPr>
            <w:r>
              <w:rPr>
                <w:sz w:val="18"/>
              </w:rPr>
              <w:t>2.135,80</w:t>
            </w:r>
          </w:p>
        </w:tc>
        <w:tc>
          <w:tcPr>
            <w:tcW w:w="700" w:type="dxa"/>
            <w:tcMar>
              <w:top w:w="0" w:type="dxa"/>
              <w:bottom w:w="0" w:type="dxa"/>
            </w:tcMar>
            <w:vAlign w:val="center"/>
          </w:tcPr>
          <w:p w14:paraId="4EF4DDDC" w14:textId="77777777" w:rsidR="004156D6" w:rsidRDefault="00000000">
            <w:pPr>
              <w:keepNext/>
              <w:keepLines/>
              <w:spacing w:after="0" w:line="240" w:lineRule="auto"/>
              <w:jc w:val="right"/>
            </w:pPr>
            <w:r>
              <w:rPr>
                <w:sz w:val="18"/>
              </w:rPr>
              <w:t>782,5</w:t>
            </w:r>
          </w:p>
        </w:tc>
      </w:tr>
    </w:tbl>
    <w:p w14:paraId="6F53C71D" w14:textId="77777777" w:rsidR="004156D6" w:rsidRDefault="004156D6">
      <w:pPr>
        <w:spacing w:after="0"/>
      </w:pPr>
    </w:p>
    <w:p w14:paraId="7C0A9BF1" w14:textId="77777777" w:rsidR="004156D6" w:rsidRDefault="00000000">
      <w:r>
        <w:lastRenderedPageBreak/>
        <w:t>Povećanje od 682,5% najvećim se dijelom odnosi na naknade za korištenje gradiva za izložbe i za dokumentarni film povodom 100-te obljetnice Muzeja grada Šibenika. </w:t>
      </w:r>
    </w:p>
    <w:p w14:paraId="3E0D68DB" w14:textId="77777777" w:rsidR="004156D6" w:rsidRDefault="004156D6"/>
    <w:p w14:paraId="237C8096" w14:textId="77777777" w:rsidR="004156D6"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46BC92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5DCAF6"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4042B7"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4C505A"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B37FDC"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3CFBCE"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94E25C" w14:textId="77777777" w:rsidR="004156D6" w:rsidRDefault="00000000">
            <w:pPr>
              <w:keepNext/>
              <w:keepLines/>
              <w:spacing w:after="0" w:line="240" w:lineRule="auto"/>
              <w:jc w:val="center"/>
            </w:pPr>
            <w:r>
              <w:rPr>
                <w:b/>
                <w:sz w:val="18"/>
              </w:rPr>
              <w:t>Indeks (%)</w:t>
            </w:r>
          </w:p>
        </w:tc>
      </w:tr>
      <w:tr w:rsidR="004156D6" w14:paraId="25D21E9F" w14:textId="77777777">
        <w:tblPrEx>
          <w:tblCellMar>
            <w:top w:w="0" w:type="dxa"/>
            <w:bottom w:w="0" w:type="dxa"/>
          </w:tblCellMar>
        </w:tblPrEx>
        <w:trPr>
          <w:cantSplit/>
          <w:trHeight w:val="560"/>
        </w:trPr>
        <w:tc>
          <w:tcPr>
            <w:tcW w:w="700" w:type="dxa"/>
            <w:tcMar>
              <w:top w:w="0" w:type="dxa"/>
              <w:bottom w:w="0" w:type="dxa"/>
            </w:tcMar>
            <w:vAlign w:val="center"/>
          </w:tcPr>
          <w:p w14:paraId="4B54CE78" w14:textId="77777777" w:rsidR="004156D6" w:rsidRDefault="00000000">
            <w:pPr>
              <w:keepNext/>
              <w:keepLines/>
              <w:spacing w:after="0" w:line="240" w:lineRule="auto"/>
            </w:pPr>
            <w:r>
              <w:rPr>
                <w:sz w:val="18"/>
              </w:rPr>
              <w:t>3299</w:t>
            </w:r>
          </w:p>
        </w:tc>
        <w:tc>
          <w:tcPr>
            <w:tcW w:w="3180" w:type="dxa"/>
            <w:tcMar>
              <w:top w:w="0" w:type="dxa"/>
              <w:bottom w:w="0" w:type="dxa"/>
            </w:tcMar>
            <w:vAlign w:val="center"/>
          </w:tcPr>
          <w:p w14:paraId="0F81AB96" w14:textId="77777777" w:rsidR="004156D6"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7CA052BC" w14:textId="77777777" w:rsidR="004156D6" w:rsidRDefault="00000000">
            <w:pPr>
              <w:keepNext/>
              <w:keepLines/>
              <w:spacing w:after="0" w:line="240" w:lineRule="auto"/>
            </w:pPr>
            <w:r>
              <w:rPr>
                <w:sz w:val="18"/>
              </w:rPr>
              <w:t>3299</w:t>
            </w:r>
          </w:p>
        </w:tc>
        <w:tc>
          <w:tcPr>
            <w:tcW w:w="1860" w:type="dxa"/>
            <w:tcMar>
              <w:top w:w="0" w:type="dxa"/>
              <w:bottom w:w="0" w:type="dxa"/>
            </w:tcMar>
            <w:vAlign w:val="center"/>
          </w:tcPr>
          <w:p w14:paraId="2D92EDCF" w14:textId="77777777" w:rsidR="004156D6" w:rsidRDefault="00000000">
            <w:pPr>
              <w:keepNext/>
              <w:keepLines/>
              <w:spacing w:after="0" w:line="240" w:lineRule="auto"/>
              <w:jc w:val="right"/>
            </w:pPr>
            <w:r>
              <w:rPr>
                <w:sz w:val="18"/>
              </w:rPr>
              <w:t>60,00</w:t>
            </w:r>
          </w:p>
        </w:tc>
        <w:tc>
          <w:tcPr>
            <w:tcW w:w="1860" w:type="dxa"/>
            <w:tcMar>
              <w:top w:w="0" w:type="dxa"/>
              <w:bottom w:w="0" w:type="dxa"/>
            </w:tcMar>
            <w:vAlign w:val="center"/>
          </w:tcPr>
          <w:p w14:paraId="78B9ED3F" w14:textId="77777777" w:rsidR="004156D6" w:rsidRDefault="00000000">
            <w:pPr>
              <w:keepNext/>
              <w:keepLines/>
              <w:spacing w:after="0" w:line="240" w:lineRule="auto"/>
              <w:jc w:val="right"/>
            </w:pPr>
            <w:r>
              <w:rPr>
                <w:sz w:val="18"/>
              </w:rPr>
              <w:t>250,00</w:t>
            </w:r>
          </w:p>
        </w:tc>
        <w:tc>
          <w:tcPr>
            <w:tcW w:w="700" w:type="dxa"/>
            <w:tcMar>
              <w:top w:w="0" w:type="dxa"/>
              <w:bottom w:w="0" w:type="dxa"/>
            </w:tcMar>
            <w:vAlign w:val="center"/>
          </w:tcPr>
          <w:p w14:paraId="0FCF7BEE" w14:textId="77777777" w:rsidR="004156D6" w:rsidRDefault="00000000">
            <w:pPr>
              <w:keepNext/>
              <w:keepLines/>
              <w:spacing w:after="0" w:line="240" w:lineRule="auto"/>
              <w:jc w:val="right"/>
            </w:pPr>
            <w:r>
              <w:rPr>
                <w:sz w:val="18"/>
              </w:rPr>
              <w:t>416,7</w:t>
            </w:r>
          </w:p>
        </w:tc>
      </w:tr>
    </w:tbl>
    <w:p w14:paraId="08ED8658" w14:textId="77777777" w:rsidR="004156D6" w:rsidRDefault="004156D6">
      <w:pPr>
        <w:spacing w:after="0"/>
      </w:pPr>
    </w:p>
    <w:p w14:paraId="1B478383" w14:textId="77777777" w:rsidR="004156D6" w:rsidRDefault="00000000">
      <w:r>
        <w:t xml:space="preserve">Ova stavka </w:t>
      </w:r>
      <w:proofErr w:type="spellStart"/>
      <w:r>
        <w:t>billježi</w:t>
      </w:r>
      <w:proofErr w:type="spellEnd"/>
      <w:r>
        <w:t xml:space="preserve"> povećanje od 316,7% u odnosu na prethodno izvještajno razdoblje a odnosi se na rashode za cvjetne aranžmane za proslavu 100-te obljetnice Muzeja te za vijence za pogrebe.</w:t>
      </w:r>
    </w:p>
    <w:p w14:paraId="218CEC25" w14:textId="77777777" w:rsidR="004156D6" w:rsidRDefault="004156D6"/>
    <w:p w14:paraId="364BF9B8" w14:textId="77777777" w:rsidR="004156D6"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282538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B7DD1D"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AA7022"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9CB6F2"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233FA5"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4DA610"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E876E0" w14:textId="77777777" w:rsidR="004156D6" w:rsidRDefault="00000000">
            <w:pPr>
              <w:keepNext/>
              <w:keepLines/>
              <w:spacing w:after="0" w:line="240" w:lineRule="auto"/>
              <w:jc w:val="center"/>
            </w:pPr>
            <w:r>
              <w:rPr>
                <w:b/>
                <w:sz w:val="18"/>
              </w:rPr>
              <w:t>Indeks (%)</w:t>
            </w:r>
          </w:p>
        </w:tc>
      </w:tr>
      <w:tr w:rsidR="004156D6" w14:paraId="448EDFE9" w14:textId="77777777">
        <w:tblPrEx>
          <w:tblCellMar>
            <w:top w:w="0" w:type="dxa"/>
            <w:bottom w:w="0" w:type="dxa"/>
          </w:tblCellMar>
        </w:tblPrEx>
        <w:trPr>
          <w:cantSplit/>
          <w:trHeight w:val="560"/>
        </w:trPr>
        <w:tc>
          <w:tcPr>
            <w:tcW w:w="700" w:type="dxa"/>
            <w:tcMar>
              <w:top w:w="0" w:type="dxa"/>
              <w:bottom w:w="0" w:type="dxa"/>
            </w:tcMar>
            <w:vAlign w:val="center"/>
          </w:tcPr>
          <w:p w14:paraId="36FB513C" w14:textId="77777777" w:rsidR="004156D6" w:rsidRDefault="00000000">
            <w:pPr>
              <w:keepNext/>
              <w:keepLines/>
              <w:spacing w:after="0" w:line="240" w:lineRule="auto"/>
            </w:pPr>
            <w:r>
              <w:rPr>
                <w:sz w:val="18"/>
              </w:rPr>
              <w:t>3433</w:t>
            </w:r>
          </w:p>
        </w:tc>
        <w:tc>
          <w:tcPr>
            <w:tcW w:w="3180" w:type="dxa"/>
            <w:tcMar>
              <w:top w:w="0" w:type="dxa"/>
              <w:bottom w:w="0" w:type="dxa"/>
            </w:tcMar>
            <w:vAlign w:val="center"/>
          </w:tcPr>
          <w:p w14:paraId="62683A38" w14:textId="77777777" w:rsidR="004156D6" w:rsidRDefault="00000000">
            <w:pPr>
              <w:keepNext/>
              <w:keepLines/>
              <w:spacing w:after="0" w:line="240" w:lineRule="auto"/>
            </w:pPr>
            <w:r>
              <w:rPr>
                <w:sz w:val="18"/>
              </w:rPr>
              <w:t>Zatezne kamate</w:t>
            </w:r>
          </w:p>
        </w:tc>
        <w:tc>
          <w:tcPr>
            <w:tcW w:w="700" w:type="dxa"/>
            <w:tcMar>
              <w:top w:w="0" w:type="dxa"/>
              <w:bottom w:w="0" w:type="dxa"/>
            </w:tcMar>
            <w:vAlign w:val="center"/>
          </w:tcPr>
          <w:p w14:paraId="538E64DD" w14:textId="77777777" w:rsidR="004156D6" w:rsidRDefault="00000000">
            <w:pPr>
              <w:keepNext/>
              <w:keepLines/>
              <w:spacing w:after="0" w:line="240" w:lineRule="auto"/>
            </w:pPr>
            <w:r>
              <w:rPr>
                <w:sz w:val="18"/>
              </w:rPr>
              <w:t>3433</w:t>
            </w:r>
          </w:p>
        </w:tc>
        <w:tc>
          <w:tcPr>
            <w:tcW w:w="1860" w:type="dxa"/>
            <w:tcMar>
              <w:top w:w="0" w:type="dxa"/>
              <w:bottom w:w="0" w:type="dxa"/>
            </w:tcMar>
            <w:vAlign w:val="center"/>
          </w:tcPr>
          <w:p w14:paraId="18C0490E" w14:textId="77777777" w:rsidR="004156D6" w:rsidRDefault="00000000">
            <w:pPr>
              <w:keepNext/>
              <w:keepLines/>
              <w:spacing w:after="0" w:line="240" w:lineRule="auto"/>
              <w:jc w:val="right"/>
            </w:pPr>
            <w:r>
              <w:rPr>
                <w:sz w:val="18"/>
              </w:rPr>
              <w:t>94,65</w:t>
            </w:r>
          </w:p>
        </w:tc>
        <w:tc>
          <w:tcPr>
            <w:tcW w:w="1860" w:type="dxa"/>
            <w:tcMar>
              <w:top w:w="0" w:type="dxa"/>
              <w:bottom w:w="0" w:type="dxa"/>
            </w:tcMar>
            <w:vAlign w:val="center"/>
          </w:tcPr>
          <w:p w14:paraId="23BF5E9A" w14:textId="77777777" w:rsidR="004156D6" w:rsidRDefault="00000000">
            <w:pPr>
              <w:keepNext/>
              <w:keepLines/>
              <w:spacing w:after="0" w:line="240" w:lineRule="auto"/>
              <w:jc w:val="right"/>
            </w:pPr>
            <w:r>
              <w:rPr>
                <w:sz w:val="18"/>
              </w:rPr>
              <w:t>20,75</w:t>
            </w:r>
          </w:p>
        </w:tc>
        <w:tc>
          <w:tcPr>
            <w:tcW w:w="700" w:type="dxa"/>
            <w:tcMar>
              <w:top w:w="0" w:type="dxa"/>
              <w:bottom w:w="0" w:type="dxa"/>
            </w:tcMar>
            <w:vAlign w:val="center"/>
          </w:tcPr>
          <w:p w14:paraId="7F9CFC7A" w14:textId="77777777" w:rsidR="004156D6" w:rsidRDefault="00000000">
            <w:pPr>
              <w:keepNext/>
              <w:keepLines/>
              <w:spacing w:after="0" w:line="240" w:lineRule="auto"/>
              <w:jc w:val="right"/>
            </w:pPr>
            <w:r>
              <w:rPr>
                <w:sz w:val="18"/>
              </w:rPr>
              <w:t>21,9</w:t>
            </w:r>
          </w:p>
        </w:tc>
      </w:tr>
    </w:tbl>
    <w:p w14:paraId="3830D6C5" w14:textId="77777777" w:rsidR="004156D6" w:rsidRDefault="004156D6">
      <w:pPr>
        <w:spacing w:after="0"/>
      </w:pPr>
    </w:p>
    <w:p w14:paraId="44AC1756" w14:textId="77777777" w:rsidR="004156D6" w:rsidRDefault="00000000">
      <w:r>
        <w:t xml:space="preserve">Smanjenje stavke od 78,1% u odnosu na izvještajno razdoblje prethodne godine rezultat je smanjenja rashoda za zatezne kamate iz </w:t>
      </w:r>
      <w:proofErr w:type="spellStart"/>
      <w:r>
        <w:t>polsovnih</w:t>
      </w:r>
      <w:proofErr w:type="spellEnd"/>
      <w:r>
        <w:t xml:space="preserve"> odnosa zbog plaćanja računa u rokovima dospijeća.</w:t>
      </w:r>
    </w:p>
    <w:p w14:paraId="19081AEE" w14:textId="77777777" w:rsidR="004156D6" w:rsidRDefault="004156D6"/>
    <w:p w14:paraId="66FDEA62" w14:textId="77777777" w:rsidR="004156D6"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0BD70E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15AE35"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C903B6"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A062DD"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FD9AF7"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2ED80A"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22B718" w14:textId="77777777" w:rsidR="004156D6" w:rsidRDefault="00000000">
            <w:pPr>
              <w:keepNext/>
              <w:keepLines/>
              <w:spacing w:after="0" w:line="240" w:lineRule="auto"/>
              <w:jc w:val="center"/>
            </w:pPr>
            <w:r>
              <w:rPr>
                <w:b/>
                <w:sz w:val="18"/>
              </w:rPr>
              <w:t>Indeks (%)</w:t>
            </w:r>
          </w:p>
        </w:tc>
      </w:tr>
      <w:tr w:rsidR="004156D6" w14:paraId="6003A0AF" w14:textId="77777777">
        <w:tblPrEx>
          <w:tblCellMar>
            <w:top w:w="0" w:type="dxa"/>
            <w:bottom w:w="0" w:type="dxa"/>
          </w:tblCellMar>
        </w:tblPrEx>
        <w:trPr>
          <w:cantSplit/>
          <w:trHeight w:val="560"/>
        </w:trPr>
        <w:tc>
          <w:tcPr>
            <w:tcW w:w="700" w:type="dxa"/>
            <w:tcMar>
              <w:top w:w="0" w:type="dxa"/>
              <w:bottom w:w="0" w:type="dxa"/>
            </w:tcMar>
            <w:vAlign w:val="center"/>
          </w:tcPr>
          <w:p w14:paraId="5446C05D" w14:textId="77777777" w:rsidR="004156D6" w:rsidRDefault="00000000">
            <w:pPr>
              <w:keepNext/>
              <w:keepLines/>
              <w:spacing w:after="0" w:line="240" w:lineRule="auto"/>
            </w:pPr>
            <w:r>
              <w:rPr>
                <w:sz w:val="18"/>
              </w:rPr>
              <w:t>3694</w:t>
            </w:r>
          </w:p>
        </w:tc>
        <w:tc>
          <w:tcPr>
            <w:tcW w:w="3180" w:type="dxa"/>
            <w:tcMar>
              <w:top w:w="0" w:type="dxa"/>
              <w:bottom w:w="0" w:type="dxa"/>
            </w:tcMar>
            <w:vAlign w:val="center"/>
          </w:tcPr>
          <w:p w14:paraId="394E9397" w14:textId="77777777" w:rsidR="004156D6" w:rsidRDefault="00000000">
            <w:pPr>
              <w:keepNext/>
              <w:keepLines/>
              <w:spacing w:after="0" w:line="240" w:lineRule="auto"/>
            </w:pPr>
            <w:r>
              <w:rPr>
                <w:sz w:val="18"/>
              </w:rPr>
              <w:t>Kapitalni prijenosi između proračunskih korisnika istog proračuna temeljem prijenosa EU sredstava</w:t>
            </w:r>
          </w:p>
        </w:tc>
        <w:tc>
          <w:tcPr>
            <w:tcW w:w="700" w:type="dxa"/>
            <w:tcMar>
              <w:top w:w="0" w:type="dxa"/>
              <w:bottom w:w="0" w:type="dxa"/>
            </w:tcMar>
            <w:vAlign w:val="center"/>
          </w:tcPr>
          <w:p w14:paraId="1680DF99" w14:textId="77777777" w:rsidR="004156D6" w:rsidRDefault="00000000">
            <w:pPr>
              <w:keepNext/>
              <w:keepLines/>
              <w:spacing w:after="0" w:line="240" w:lineRule="auto"/>
            </w:pPr>
            <w:r>
              <w:rPr>
                <w:sz w:val="18"/>
              </w:rPr>
              <w:t>3694</w:t>
            </w:r>
          </w:p>
        </w:tc>
        <w:tc>
          <w:tcPr>
            <w:tcW w:w="1860" w:type="dxa"/>
            <w:tcMar>
              <w:top w:w="0" w:type="dxa"/>
              <w:bottom w:w="0" w:type="dxa"/>
            </w:tcMar>
            <w:vAlign w:val="center"/>
          </w:tcPr>
          <w:p w14:paraId="690EBEF4" w14:textId="77777777" w:rsidR="004156D6" w:rsidRDefault="00000000">
            <w:pPr>
              <w:keepNext/>
              <w:keepLines/>
              <w:spacing w:after="0" w:line="240" w:lineRule="auto"/>
              <w:jc w:val="right"/>
            </w:pPr>
            <w:r>
              <w:rPr>
                <w:sz w:val="18"/>
              </w:rPr>
              <w:t>32.625,00</w:t>
            </w:r>
          </w:p>
        </w:tc>
        <w:tc>
          <w:tcPr>
            <w:tcW w:w="1860" w:type="dxa"/>
            <w:tcMar>
              <w:top w:w="0" w:type="dxa"/>
              <w:bottom w:w="0" w:type="dxa"/>
            </w:tcMar>
            <w:vAlign w:val="center"/>
          </w:tcPr>
          <w:p w14:paraId="75C096B1" w14:textId="77777777" w:rsidR="004156D6" w:rsidRDefault="00000000">
            <w:pPr>
              <w:keepNext/>
              <w:keepLines/>
              <w:spacing w:after="0" w:line="240" w:lineRule="auto"/>
              <w:jc w:val="right"/>
            </w:pPr>
            <w:r>
              <w:rPr>
                <w:sz w:val="18"/>
              </w:rPr>
              <w:t>0,00</w:t>
            </w:r>
          </w:p>
        </w:tc>
        <w:tc>
          <w:tcPr>
            <w:tcW w:w="700" w:type="dxa"/>
            <w:tcMar>
              <w:top w:w="0" w:type="dxa"/>
              <w:bottom w:w="0" w:type="dxa"/>
            </w:tcMar>
            <w:vAlign w:val="center"/>
          </w:tcPr>
          <w:p w14:paraId="7861EE65" w14:textId="77777777" w:rsidR="004156D6" w:rsidRDefault="00000000">
            <w:pPr>
              <w:keepNext/>
              <w:keepLines/>
              <w:spacing w:after="0" w:line="240" w:lineRule="auto"/>
              <w:jc w:val="right"/>
            </w:pPr>
            <w:r>
              <w:rPr>
                <w:sz w:val="18"/>
              </w:rPr>
              <w:t>0</w:t>
            </w:r>
          </w:p>
        </w:tc>
      </w:tr>
    </w:tbl>
    <w:p w14:paraId="06384D7E" w14:textId="77777777" w:rsidR="004156D6" w:rsidRDefault="004156D6">
      <w:pPr>
        <w:spacing w:after="0"/>
      </w:pPr>
    </w:p>
    <w:p w14:paraId="39018E2D" w14:textId="77777777" w:rsidR="004156D6" w:rsidRDefault="00000000">
      <w:r>
        <w:t>U odnosu na prethodno izvještajno razdoblje, u 2025. godini nemamo evidentirane kapitalne prijenose između proračunskih korisnika istog proračuna temeljem prijenosa EU sredstava za projekt Energetska obnova Muzeja.</w:t>
      </w:r>
    </w:p>
    <w:p w14:paraId="0BB81F0E" w14:textId="77777777" w:rsidR="004156D6" w:rsidRDefault="004156D6"/>
    <w:p w14:paraId="318C133C" w14:textId="77777777" w:rsidR="004156D6"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593DDD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CAB2A5"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345995"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D6358"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B92C57"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E6EBBC"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EE54F4" w14:textId="77777777" w:rsidR="004156D6" w:rsidRDefault="00000000">
            <w:pPr>
              <w:keepNext/>
              <w:keepLines/>
              <w:spacing w:after="0" w:line="240" w:lineRule="auto"/>
              <w:jc w:val="center"/>
            </w:pPr>
            <w:r>
              <w:rPr>
                <w:b/>
                <w:sz w:val="18"/>
              </w:rPr>
              <w:t>Indeks (%)</w:t>
            </w:r>
          </w:p>
        </w:tc>
      </w:tr>
      <w:tr w:rsidR="004156D6" w14:paraId="1417031C" w14:textId="77777777">
        <w:tblPrEx>
          <w:tblCellMar>
            <w:top w:w="0" w:type="dxa"/>
            <w:bottom w:w="0" w:type="dxa"/>
          </w:tblCellMar>
        </w:tblPrEx>
        <w:trPr>
          <w:cantSplit/>
          <w:trHeight w:val="560"/>
        </w:trPr>
        <w:tc>
          <w:tcPr>
            <w:tcW w:w="700" w:type="dxa"/>
            <w:tcMar>
              <w:top w:w="0" w:type="dxa"/>
              <w:bottom w:w="0" w:type="dxa"/>
            </w:tcMar>
            <w:vAlign w:val="center"/>
          </w:tcPr>
          <w:p w14:paraId="356073F9" w14:textId="77777777" w:rsidR="004156D6" w:rsidRDefault="00000000">
            <w:pPr>
              <w:keepNext/>
              <w:keepLines/>
              <w:spacing w:after="0" w:line="240" w:lineRule="auto"/>
            </w:pPr>
            <w:r>
              <w:rPr>
                <w:sz w:val="18"/>
              </w:rPr>
              <w:t>4</w:t>
            </w:r>
          </w:p>
        </w:tc>
        <w:tc>
          <w:tcPr>
            <w:tcW w:w="3180" w:type="dxa"/>
            <w:tcMar>
              <w:top w:w="0" w:type="dxa"/>
              <w:bottom w:w="0" w:type="dxa"/>
            </w:tcMar>
            <w:vAlign w:val="center"/>
          </w:tcPr>
          <w:p w14:paraId="504DE17C" w14:textId="77777777" w:rsidR="004156D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6D03D91" w14:textId="77777777" w:rsidR="004156D6" w:rsidRDefault="00000000">
            <w:pPr>
              <w:keepNext/>
              <w:keepLines/>
              <w:spacing w:after="0" w:line="240" w:lineRule="auto"/>
            </w:pPr>
            <w:r>
              <w:rPr>
                <w:sz w:val="18"/>
              </w:rPr>
              <w:t>4</w:t>
            </w:r>
          </w:p>
        </w:tc>
        <w:tc>
          <w:tcPr>
            <w:tcW w:w="1860" w:type="dxa"/>
            <w:tcMar>
              <w:top w:w="0" w:type="dxa"/>
              <w:bottom w:w="0" w:type="dxa"/>
            </w:tcMar>
            <w:vAlign w:val="center"/>
          </w:tcPr>
          <w:p w14:paraId="0DD6D69F" w14:textId="77777777" w:rsidR="004156D6" w:rsidRDefault="00000000">
            <w:pPr>
              <w:keepNext/>
              <w:keepLines/>
              <w:spacing w:after="0" w:line="240" w:lineRule="auto"/>
              <w:jc w:val="right"/>
            </w:pPr>
            <w:r>
              <w:rPr>
                <w:sz w:val="18"/>
              </w:rPr>
              <w:t>115.678,26</w:t>
            </w:r>
          </w:p>
        </w:tc>
        <w:tc>
          <w:tcPr>
            <w:tcW w:w="1860" w:type="dxa"/>
            <w:tcMar>
              <w:top w:w="0" w:type="dxa"/>
              <w:bottom w:w="0" w:type="dxa"/>
            </w:tcMar>
            <w:vAlign w:val="center"/>
          </w:tcPr>
          <w:p w14:paraId="05F4374E" w14:textId="77777777" w:rsidR="004156D6" w:rsidRDefault="00000000">
            <w:pPr>
              <w:keepNext/>
              <w:keepLines/>
              <w:spacing w:after="0" w:line="240" w:lineRule="auto"/>
              <w:jc w:val="right"/>
            </w:pPr>
            <w:r>
              <w:rPr>
                <w:sz w:val="18"/>
              </w:rPr>
              <w:t>441.895,84</w:t>
            </w:r>
          </w:p>
        </w:tc>
        <w:tc>
          <w:tcPr>
            <w:tcW w:w="700" w:type="dxa"/>
            <w:tcMar>
              <w:top w:w="0" w:type="dxa"/>
              <w:bottom w:w="0" w:type="dxa"/>
            </w:tcMar>
            <w:vAlign w:val="center"/>
          </w:tcPr>
          <w:p w14:paraId="04FA5EE4" w14:textId="77777777" w:rsidR="004156D6" w:rsidRDefault="00000000">
            <w:pPr>
              <w:keepNext/>
              <w:keepLines/>
              <w:spacing w:after="0" w:line="240" w:lineRule="auto"/>
              <w:jc w:val="right"/>
            </w:pPr>
            <w:r>
              <w:rPr>
                <w:sz w:val="18"/>
              </w:rPr>
              <w:t>382,0</w:t>
            </w:r>
          </w:p>
        </w:tc>
      </w:tr>
    </w:tbl>
    <w:p w14:paraId="51DEF814" w14:textId="77777777" w:rsidR="004156D6" w:rsidRDefault="004156D6">
      <w:pPr>
        <w:spacing w:after="0"/>
      </w:pPr>
    </w:p>
    <w:p w14:paraId="71DFE5DD" w14:textId="77777777" w:rsidR="004156D6" w:rsidRDefault="00000000">
      <w:r>
        <w:t>Povećanje od 282% najvećim se dijelom odnosi na dodatna ulaganja na građevinskim objektima zbog projekta Energetske obnove Muzeja grada Šibenika, na dodatna ulaganja u opremu za projekt Stalni postav te na nabavu uredske opreme i namještaja.</w:t>
      </w:r>
    </w:p>
    <w:p w14:paraId="35823DE1" w14:textId="77777777" w:rsidR="004156D6" w:rsidRDefault="004156D6"/>
    <w:p w14:paraId="608CBE79" w14:textId="77777777" w:rsidR="004156D6"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703E47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740AB7"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CBD165"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2CCB0A"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75ECB6"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06F728"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4488BB" w14:textId="77777777" w:rsidR="004156D6" w:rsidRDefault="00000000">
            <w:pPr>
              <w:keepNext/>
              <w:keepLines/>
              <w:spacing w:after="0" w:line="240" w:lineRule="auto"/>
              <w:jc w:val="center"/>
            </w:pPr>
            <w:r>
              <w:rPr>
                <w:b/>
                <w:sz w:val="18"/>
              </w:rPr>
              <w:t>Indeks (%)</w:t>
            </w:r>
          </w:p>
        </w:tc>
      </w:tr>
      <w:tr w:rsidR="004156D6" w14:paraId="476966C9" w14:textId="77777777">
        <w:tblPrEx>
          <w:tblCellMar>
            <w:top w:w="0" w:type="dxa"/>
            <w:bottom w:w="0" w:type="dxa"/>
          </w:tblCellMar>
        </w:tblPrEx>
        <w:trPr>
          <w:cantSplit/>
          <w:trHeight w:val="560"/>
        </w:trPr>
        <w:tc>
          <w:tcPr>
            <w:tcW w:w="700" w:type="dxa"/>
            <w:tcMar>
              <w:top w:w="0" w:type="dxa"/>
              <w:bottom w:w="0" w:type="dxa"/>
            </w:tcMar>
            <w:vAlign w:val="center"/>
          </w:tcPr>
          <w:p w14:paraId="204BA8FE" w14:textId="77777777" w:rsidR="004156D6" w:rsidRDefault="00000000">
            <w:pPr>
              <w:keepNext/>
              <w:keepLines/>
              <w:spacing w:after="0" w:line="240" w:lineRule="auto"/>
            </w:pPr>
            <w:r>
              <w:rPr>
                <w:sz w:val="18"/>
              </w:rPr>
              <w:t>422</w:t>
            </w:r>
          </w:p>
        </w:tc>
        <w:tc>
          <w:tcPr>
            <w:tcW w:w="3180" w:type="dxa"/>
            <w:tcMar>
              <w:top w:w="0" w:type="dxa"/>
              <w:bottom w:w="0" w:type="dxa"/>
            </w:tcMar>
            <w:vAlign w:val="center"/>
          </w:tcPr>
          <w:p w14:paraId="119ED7BE" w14:textId="77777777" w:rsidR="004156D6"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15C741BC" w14:textId="77777777" w:rsidR="004156D6" w:rsidRDefault="00000000">
            <w:pPr>
              <w:keepNext/>
              <w:keepLines/>
              <w:spacing w:after="0" w:line="240" w:lineRule="auto"/>
            </w:pPr>
            <w:r>
              <w:rPr>
                <w:sz w:val="18"/>
              </w:rPr>
              <w:t>422</w:t>
            </w:r>
          </w:p>
        </w:tc>
        <w:tc>
          <w:tcPr>
            <w:tcW w:w="1860" w:type="dxa"/>
            <w:tcMar>
              <w:top w:w="0" w:type="dxa"/>
              <w:bottom w:w="0" w:type="dxa"/>
            </w:tcMar>
            <w:vAlign w:val="center"/>
          </w:tcPr>
          <w:p w14:paraId="18317522" w14:textId="77777777" w:rsidR="004156D6" w:rsidRDefault="00000000">
            <w:pPr>
              <w:keepNext/>
              <w:keepLines/>
              <w:spacing w:after="0" w:line="240" w:lineRule="auto"/>
              <w:jc w:val="right"/>
            </w:pPr>
            <w:r>
              <w:rPr>
                <w:sz w:val="18"/>
              </w:rPr>
              <w:t>4.443,50</w:t>
            </w:r>
          </w:p>
        </w:tc>
        <w:tc>
          <w:tcPr>
            <w:tcW w:w="1860" w:type="dxa"/>
            <w:tcMar>
              <w:top w:w="0" w:type="dxa"/>
              <w:bottom w:w="0" w:type="dxa"/>
            </w:tcMar>
            <w:vAlign w:val="center"/>
          </w:tcPr>
          <w:p w14:paraId="3C6756CB" w14:textId="77777777" w:rsidR="004156D6" w:rsidRDefault="00000000">
            <w:pPr>
              <w:keepNext/>
              <w:keepLines/>
              <w:spacing w:after="0" w:line="240" w:lineRule="auto"/>
              <w:jc w:val="right"/>
            </w:pPr>
            <w:r>
              <w:rPr>
                <w:sz w:val="18"/>
              </w:rPr>
              <w:t>16.717,78</w:t>
            </w:r>
          </w:p>
        </w:tc>
        <w:tc>
          <w:tcPr>
            <w:tcW w:w="700" w:type="dxa"/>
            <w:tcMar>
              <w:top w:w="0" w:type="dxa"/>
              <w:bottom w:w="0" w:type="dxa"/>
            </w:tcMar>
            <w:vAlign w:val="center"/>
          </w:tcPr>
          <w:p w14:paraId="6379817C" w14:textId="77777777" w:rsidR="004156D6" w:rsidRDefault="00000000">
            <w:pPr>
              <w:keepNext/>
              <w:keepLines/>
              <w:spacing w:after="0" w:line="240" w:lineRule="auto"/>
              <w:jc w:val="right"/>
            </w:pPr>
            <w:r>
              <w:rPr>
                <w:sz w:val="18"/>
              </w:rPr>
              <w:t>376,2</w:t>
            </w:r>
          </w:p>
        </w:tc>
      </w:tr>
    </w:tbl>
    <w:p w14:paraId="319906B6" w14:textId="77777777" w:rsidR="004156D6" w:rsidRDefault="004156D6">
      <w:pPr>
        <w:spacing w:after="0"/>
      </w:pPr>
    </w:p>
    <w:p w14:paraId="56A337DA" w14:textId="77777777" w:rsidR="004156D6" w:rsidRDefault="00000000">
      <w:r>
        <w:t>Ova stavka bilježi povećanje od 276,2% i najvećim se dijelom odnosi na nabavu računalne i uredske opreme te za nabavu fotoaparata. </w:t>
      </w:r>
    </w:p>
    <w:p w14:paraId="4EA287D4" w14:textId="77777777" w:rsidR="004156D6" w:rsidRDefault="004156D6"/>
    <w:p w14:paraId="4C419D7E" w14:textId="77777777" w:rsidR="004156D6"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7E233D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43BD93"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CC58DE"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79F36C"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7C479B"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D3E931"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A5B525" w14:textId="77777777" w:rsidR="004156D6" w:rsidRDefault="00000000">
            <w:pPr>
              <w:keepNext/>
              <w:keepLines/>
              <w:spacing w:after="0" w:line="240" w:lineRule="auto"/>
              <w:jc w:val="center"/>
            </w:pPr>
            <w:r>
              <w:rPr>
                <w:b/>
                <w:sz w:val="18"/>
              </w:rPr>
              <w:t>Indeks (%)</w:t>
            </w:r>
          </w:p>
        </w:tc>
      </w:tr>
      <w:tr w:rsidR="004156D6" w14:paraId="6B0C67BF" w14:textId="77777777">
        <w:tblPrEx>
          <w:tblCellMar>
            <w:top w:w="0" w:type="dxa"/>
            <w:bottom w:w="0" w:type="dxa"/>
          </w:tblCellMar>
        </w:tblPrEx>
        <w:trPr>
          <w:cantSplit/>
          <w:trHeight w:val="560"/>
        </w:trPr>
        <w:tc>
          <w:tcPr>
            <w:tcW w:w="700" w:type="dxa"/>
            <w:tcMar>
              <w:top w:w="0" w:type="dxa"/>
              <w:bottom w:w="0" w:type="dxa"/>
            </w:tcMar>
            <w:vAlign w:val="center"/>
          </w:tcPr>
          <w:p w14:paraId="28EA4284" w14:textId="77777777" w:rsidR="004156D6" w:rsidRDefault="00000000">
            <w:pPr>
              <w:keepNext/>
              <w:keepLines/>
              <w:spacing w:after="0" w:line="240" w:lineRule="auto"/>
            </w:pPr>
            <w:r>
              <w:rPr>
                <w:sz w:val="18"/>
              </w:rPr>
              <w:t>4221</w:t>
            </w:r>
          </w:p>
        </w:tc>
        <w:tc>
          <w:tcPr>
            <w:tcW w:w="3180" w:type="dxa"/>
            <w:tcMar>
              <w:top w:w="0" w:type="dxa"/>
              <w:bottom w:w="0" w:type="dxa"/>
            </w:tcMar>
            <w:vAlign w:val="center"/>
          </w:tcPr>
          <w:p w14:paraId="3E068251" w14:textId="77777777" w:rsidR="004156D6"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1AC23864" w14:textId="77777777" w:rsidR="004156D6" w:rsidRDefault="00000000">
            <w:pPr>
              <w:keepNext/>
              <w:keepLines/>
              <w:spacing w:after="0" w:line="240" w:lineRule="auto"/>
            </w:pPr>
            <w:r>
              <w:rPr>
                <w:sz w:val="18"/>
              </w:rPr>
              <w:t>4221</w:t>
            </w:r>
          </w:p>
        </w:tc>
        <w:tc>
          <w:tcPr>
            <w:tcW w:w="1860" w:type="dxa"/>
            <w:tcMar>
              <w:top w:w="0" w:type="dxa"/>
              <w:bottom w:w="0" w:type="dxa"/>
            </w:tcMar>
            <w:vAlign w:val="center"/>
          </w:tcPr>
          <w:p w14:paraId="27FA1B70" w14:textId="77777777" w:rsidR="004156D6" w:rsidRDefault="00000000">
            <w:pPr>
              <w:keepNext/>
              <w:keepLines/>
              <w:spacing w:after="0" w:line="240" w:lineRule="auto"/>
              <w:jc w:val="right"/>
            </w:pPr>
            <w:r>
              <w:rPr>
                <w:sz w:val="18"/>
              </w:rPr>
              <w:t>2.804,75</w:t>
            </w:r>
          </w:p>
        </w:tc>
        <w:tc>
          <w:tcPr>
            <w:tcW w:w="1860" w:type="dxa"/>
            <w:tcMar>
              <w:top w:w="0" w:type="dxa"/>
              <w:bottom w:w="0" w:type="dxa"/>
            </w:tcMar>
            <w:vAlign w:val="center"/>
          </w:tcPr>
          <w:p w14:paraId="40FB59A0" w14:textId="77777777" w:rsidR="004156D6" w:rsidRDefault="00000000">
            <w:pPr>
              <w:keepNext/>
              <w:keepLines/>
              <w:spacing w:after="0" w:line="240" w:lineRule="auto"/>
              <w:jc w:val="right"/>
            </w:pPr>
            <w:r>
              <w:rPr>
                <w:sz w:val="18"/>
              </w:rPr>
              <w:t>12.817,55</w:t>
            </w:r>
          </w:p>
        </w:tc>
        <w:tc>
          <w:tcPr>
            <w:tcW w:w="700" w:type="dxa"/>
            <w:tcMar>
              <w:top w:w="0" w:type="dxa"/>
              <w:bottom w:w="0" w:type="dxa"/>
            </w:tcMar>
            <w:vAlign w:val="center"/>
          </w:tcPr>
          <w:p w14:paraId="05AA22F9" w14:textId="77777777" w:rsidR="004156D6" w:rsidRDefault="00000000">
            <w:pPr>
              <w:keepNext/>
              <w:keepLines/>
              <w:spacing w:after="0" w:line="240" w:lineRule="auto"/>
              <w:jc w:val="right"/>
            </w:pPr>
            <w:r>
              <w:rPr>
                <w:sz w:val="18"/>
              </w:rPr>
              <w:t>457,0</w:t>
            </w:r>
          </w:p>
        </w:tc>
      </w:tr>
    </w:tbl>
    <w:p w14:paraId="55F4FA8E" w14:textId="77777777" w:rsidR="004156D6" w:rsidRDefault="004156D6">
      <w:pPr>
        <w:spacing w:after="0"/>
      </w:pPr>
    </w:p>
    <w:p w14:paraId="323CF047" w14:textId="77777777" w:rsidR="004156D6" w:rsidRDefault="00000000">
      <w:r>
        <w:t xml:space="preserve">Ova stavka bilježi povećanje od 357% u odnosu na prethodno izvještajno razdoblje zbog zapošljavanja novih djelatnika kao i zbog </w:t>
      </w:r>
      <w:proofErr w:type="spellStart"/>
      <w:r>
        <w:t>zastarijelosti</w:t>
      </w:r>
      <w:proofErr w:type="spellEnd"/>
      <w:r>
        <w:t xml:space="preserve"> postojeće opreme i nabave nove.</w:t>
      </w:r>
    </w:p>
    <w:p w14:paraId="66DAB3B3" w14:textId="77777777" w:rsidR="004156D6" w:rsidRDefault="004156D6"/>
    <w:p w14:paraId="6F2CC70C" w14:textId="77777777" w:rsidR="004156D6"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682E83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DCFC37"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C49056"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E22295"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55AB56"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9AC9BA"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39A2FD" w14:textId="77777777" w:rsidR="004156D6" w:rsidRDefault="00000000">
            <w:pPr>
              <w:keepNext/>
              <w:keepLines/>
              <w:spacing w:after="0" w:line="240" w:lineRule="auto"/>
              <w:jc w:val="center"/>
            </w:pPr>
            <w:r>
              <w:rPr>
                <w:b/>
                <w:sz w:val="18"/>
              </w:rPr>
              <w:t>Indeks (%)</w:t>
            </w:r>
          </w:p>
        </w:tc>
      </w:tr>
      <w:tr w:rsidR="004156D6" w14:paraId="51B49274" w14:textId="77777777">
        <w:tblPrEx>
          <w:tblCellMar>
            <w:top w:w="0" w:type="dxa"/>
            <w:bottom w:w="0" w:type="dxa"/>
          </w:tblCellMar>
        </w:tblPrEx>
        <w:trPr>
          <w:cantSplit/>
          <w:trHeight w:val="560"/>
        </w:trPr>
        <w:tc>
          <w:tcPr>
            <w:tcW w:w="700" w:type="dxa"/>
            <w:tcMar>
              <w:top w:w="0" w:type="dxa"/>
              <w:bottom w:w="0" w:type="dxa"/>
            </w:tcMar>
            <w:vAlign w:val="center"/>
          </w:tcPr>
          <w:p w14:paraId="5B6A2E55" w14:textId="77777777" w:rsidR="004156D6" w:rsidRDefault="00000000">
            <w:pPr>
              <w:keepNext/>
              <w:keepLines/>
              <w:spacing w:after="0" w:line="240" w:lineRule="auto"/>
            </w:pPr>
            <w:r>
              <w:rPr>
                <w:sz w:val="18"/>
              </w:rPr>
              <w:t>4225</w:t>
            </w:r>
          </w:p>
        </w:tc>
        <w:tc>
          <w:tcPr>
            <w:tcW w:w="3180" w:type="dxa"/>
            <w:tcMar>
              <w:top w:w="0" w:type="dxa"/>
              <w:bottom w:w="0" w:type="dxa"/>
            </w:tcMar>
            <w:vAlign w:val="center"/>
          </w:tcPr>
          <w:p w14:paraId="13805171" w14:textId="77777777" w:rsidR="004156D6" w:rsidRDefault="00000000">
            <w:pPr>
              <w:keepNext/>
              <w:keepLines/>
              <w:spacing w:after="0" w:line="240" w:lineRule="auto"/>
            </w:pPr>
            <w:r>
              <w:rPr>
                <w:sz w:val="18"/>
              </w:rPr>
              <w:t>Instrumenti i uređaji</w:t>
            </w:r>
          </w:p>
        </w:tc>
        <w:tc>
          <w:tcPr>
            <w:tcW w:w="700" w:type="dxa"/>
            <w:tcMar>
              <w:top w:w="0" w:type="dxa"/>
              <w:bottom w:w="0" w:type="dxa"/>
            </w:tcMar>
            <w:vAlign w:val="center"/>
          </w:tcPr>
          <w:p w14:paraId="3CC1185E" w14:textId="77777777" w:rsidR="004156D6" w:rsidRDefault="00000000">
            <w:pPr>
              <w:keepNext/>
              <w:keepLines/>
              <w:spacing w:after="0" w:line="240" w:lineRule="auto"/>
            </w:pPr>
            <w:r>
              <w:rPr>
                <w:sz w:val="18"/>
              </w:rPr>
              <w:t>4225</w:t>
            </w:r>
          </w:p>
        </w:tc>
        <w:tc>
          <w:tcPr>
            <w:tcW w:w="1860" w:type="dxa"/>
            <w:tcMar>
              <w:top w:w="0" w:type="dxa"/>
              <w:bottom w:w="0" w:type="dxa"/>
            </w:tcMar>
            <w:vAlign w:val="center"/>
          </w:tcPr>
          <w:p w14:paraId="56D0B074" w14:textId="77777777" w:rsidR="004156D6" w:rsidRDefault="00000000">
            <w:pPr>
              <w:keepNext/>
              <w:keepLines/>
              <w:spacing w:after="0" w:line="240" w:lineRule="auto"/>
              <w:jc w:val="right"/>
            </w:pPr>
            <w:r>
              <w:rPr>
                <w:sz w:val="18"/>
              </w:rPr>
              <w:t>542,97</w:t>
            </w:r>
          </w:p>
        </w:tc>
        <w:tc>
          <w:tcPr>
            <w:tcW w:w="1860" w:type="dxa"/>
            <w:tcMar>
              <w:top w:w="0" w:type="dxa"/>
              <w:bottom w:w="0" w:type="dxa"/>
            </w:tcMar>
            <w:vAlign w:val="center"/>
          </w:tcPr>
          <w:p w14:paraId="1F0E37F8" w14:textId="77777777" w:rsidR="004156D6" w:rsidRDefault="00000000">
            <w:pPr>
              <w:keepNext/>
              <w:keepLines/>
              <w:spacing w:after="0" w:line="240" w:lineRule="auto"/>
              <w:jc w:val="right"/>
            </w:pPr>
            <w:r>
              <w:rPr>
                <w:sz w:val="18"/>
              </w:rPr>
              <w:t>3.900,23</w:t>
            </w:r>
          </w:p>
        </w:tc>
        <w:tc>
          <w:tcPr>
            <w:tcW w:w="700" w:type="dxa"/>
            <w:tcMar>
              <w:top w:w="0" w:type="dxa"/>
              <w:bottom w:w="0" w:type="dxa"/>
            </w:tcMar>
            <w:vAlign w:val="center"/>
          </w:tcPr>
          <w:p w14:paraId="7F85F929" w14:textId="77777777" w:rsidR="004156D6" w:rsidRDefault="00000000">
            <w:pPr>
              <w:keepNext/>
              <w:keepLines/>
              <w:spacing w:after="0" w:line="240" w:lineRule="auto"/>
              <w:jc w:val="right"/>
            </w:pPr>
            <w:r>
              <w:rPr>
                <w:sz w:val="18"/>
              </w:rPr>
              <w:t>718,3</w:t>
            </w:r>
          </w:p>
        </w:tc>
      </w:tr>
    </w:tbl>
    <w:p w14:paraId="17635006" w14:textId="77777777" w:rsidR="004156D6" w:rsidRDefault="004156D6">
      <w:pPr>
        <w:spacing w:after="0"/>
      </w:pPr>
    </w:p>
    <w:p w14:paraId="5801AE86" w14:textId="77777777" w:rsidR="004156D6" w:rsidRDefault="00000000">
      <w:r>
        <w:t>U ovom izvještajnom razdoblju imamo povećanje stavke za 618,3% uslijed nabave fotoaparata i projektora.</w:t>
      </w:r>
    </w:p>
    <w:p w14:paraId="53913B4C" w14:textId="77777777" w:rsidR="004156D6" w:rsidRDefault="004156D6"/>
    <w:p w14:paraId="059CACAD" w14:textId="77777777" w:rsidR="004156D6" w:rsidRDefault="00000000">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2EB0D6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99290F"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C917D7"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A46274"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61E3B1"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68D830"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3A8FF1" w14:textId="77777777" w:rsidR="004156D6" w:rsidRDefault="00000000">
            <w:pPr>
              <w:keepNext/>
              <w:keepLines/>
              <w:spacing w:after="0" w:line="240" w:lineRule="auto"/>
              <w:jc w:val="center"/>
            </w:pPr>
            <w:r>
              <w:rPr>
                <w:b/>
                <w:sz w:val="18"/>
              </w:rPr>
              <w:t>Indeks (%)</w:t>
            </w:r>
          </w:p>
        </w:tc>
      </w:tr>
      <w:tr w:rsidR="004156D6" w14:paraId="02E739AD" w14:textId="77777777">
        <w:tblPrEx>
          <w:tblCellMar>
            <w:top w:w="0" w:type="dxa"/>
            <w:bottom w:w="0" w:type="dxa"/>
          </w:tblCellMar>
        </w:tblPrEx>
        <w:trPr>
          <w:cantSplit/>
          <w:trHeight w:val="560"/>
        </w:trPr>
        <w:tc>
          <w:tcPr>
            <w:tcW w:w="700" w:type="dxa"/>
            <w:tcMar>
              <w:top w:w="0" w:type="dxa"/>
              <w:bottom w:w="0" w:type="dxa"/>
            </w:tcMar>
            <w:vAlign w:val="center"/>
          </w:tcPr>
          <w:p w14:paraId="5125F224" w14:textId="77777777" w:rsidR="004156D6" w:rsidRDefault="00000000">
            <w:pPr>
              <w:keepNext/>
              <w:keepLines/>
              <w:spacing w:after="0" w:line="240" w:lineRule="auto"/>
            </w:pPr>
            <w:r>
              <w:rPr>
                <w:sz w:val="18"/>
              </w:rPr>
              <w:t>424</w:t>
            </w:r>
          </w:p>
        </w:tc>
        <w:tc>
          <w:tcPr>
            <w:tcW w:w="3180" w:type="dxa"/>
            <w:tcMar>
              <w:top w:w="0" w:type="dxa"/>
              <w:bottom w:w="0" w:type="dxa"/>
            </w:tcMar>
            <w:vAlign w:val="center"/>
          </w:tcPr>
          <w:p w14:paraId="37C73641" w14:textId="77777777" w:rsidR="004156D6" w:rsidRDefault="00000000">
            <w:pPr>
              <w:keepNext/>
              <w:keepLines/>
              <w:spacing w:after="0" w:line="240" w:lineRule="auto"/>
            </w:pPr>
            <w:r>
              <w:rPr>
                <w:sz w:val="18"/>
              </w:rPr>
              <w:t>Knjige, umjetnička djela i ostale izložbene vrijednosti (šifre 4241 do 4244)</w:t>
            </w:r>
          </w:p>
        </w:tc>
        <w:tc>
          <w:tcPr>
            <w:tcW w:w="700" w:type="dxa"/>
            <w:tcMar>
              <w:top w:w="0" w:type="dxa"/>
              <w:bottom w:w="0" w:type="dxa"/>
            </w:tcMar>
            <w:vAlign w:val="center"/>
          </w:tcPr>
          <w:p w14:paraId="70793A05" w14:textId="77777777" w:rsidR="004156D6" w:rsidRDefault="00000000">
            <w:pPr>
              <w:keepNext/>
              <w:keepLines/>
              <w:spacing w:after="0" w:line="240" w:lineRule="auto"/>
            </w:pPr>
            <w:r>
              <w:rPr>
                <w:sz w:val="18"/>
              </w:rPr>
              <w:t>424</w:t>
            </w:r>
          </w:p>
        </w:tc>
        <w:tc>
          <w:tcPr>
            <w:tcW w:w="1860" w:type="dxa"/>
            <w:tcMar>
              <w:top w:w="0" w:type="dxa"/>
              <w:bottom w:w="0" w:type="dxa"/>
            </w:tcMar>
            <w:vAlign w:val="center"/>
          </w:tcPr>
          <w:p w14:paraId="75B3CCEC" w14:textId="77777777" w:rsidR="004156D6" w:rsidRDefault="00000000">
            <w:pPr>
              <w:keepNext/>
              <w:keepLines/>
              <w:spacing w:after="0" w:line="240" w:lineRule="auto"/>
              <w:jc w:val="right"/>
            </w:pPr>
            <w:r>
              <w:rPr>
                <w:sz w:val="18"/>
              </w:rPr>
              <w:t>4.922,01</w:t>
            </w:r>
          </w:p>
        </w:tc>
        <w:tc>
          <w:tcPr>
            <w:tcW w:w="1860" w:type="dxa"/>
            <w:tcMar>
              <w:top w:w="0" w:type="dxa"/>
              <w:bottom w:w="0" w:type="dxa"/>
            </w:tcMar>
            <w:vAlign w:val="center"/>
          </w:tcPr>
          <w:p w14:paraId="0DC9645C" w14:textId="77777777" w:rsidR="004156D6" w:rsidRDefault="00000000">
            <w:pPr>
              <w:keepNext/>
              <w:keepLines/>
              <w:spacing w:after="0" w:line="240" w:lineRule="auto"/>
              <w:jc w:val="right"/>
            </w:pPr>
            <w:r>
              <w:rPr>
                <w:sz w:val="18"/>
              </w:rPr>
              <w:t>6.260,00</w:t>
            </w:r>
          </w:p>
        </w:tc>
        <w:tc>
          <w:tcPr>
            <w:tcW w:w="700" w:type="dxa"/>
            <w:tcMar>
              <w:top w:w="0" w:type="dxa"/>
              <w:bottom w:w="0" w:type="dxa"/>
            </w:tcMar>
            <w:vAlign w:val="center"/>
          </w:tcPr>
          <w:p w14:paraId="021BE32F" w14:textId="77777777" w:rsidR="004156D6" w:rsidRDefault="00000000">
            <w:pPr>
              <w:keepNext/>
              <w:keepLines/>
              <w:spacing w:after="0" w:line="240" w:lineRule="auto"/>
              <w:jc w:val="right"/>
            </w:pPr>
            <w:r>
              <w:rPr>
                <w:sz w:val="18"/>
              </w:rPr>
              <w:t>127,2</w:t>
            </w:r>
          </w:p>
        </w:tc>
      </w:tr>
    </w:tbl>
    <w:p w14:paraId="7B9C4CC8" w14:textId="77777777" w:rsidR="004156D6" w:rsidRDefault="004156D6">
      <w:pPr>
        <w:spacing w:after="0"/>
      </w:pPr>
    </w:p>
    <w:p w14:paraId="363A8891" w14:textId="77777777" w:rsidR="004156D6" w:rsidRDefault="00000000">
      <w:r>
        <w:t>Povećanje od 27,2% u odnosu na izvještajno razdoblje prethodne godine odnosi se na više nabavljenih predmeta muzejske građe za muzejski fundus.</w:t>
      </w:r>
    </w:p>
    <w:p w14:paraId="7E95F4DE" w14:textId="77777777" w:rsidR="004156D6" w:rsidRDefault="004156D6"/>
    <w:p w14:paraId="59DFF2D1" w14:textId="77777777" w:rsidR="004156D6"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38DC6E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7313AA"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C6557E"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CAC2F9"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A6C292"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831509"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CAC45F" w14:textId="77777777" w:rsidR="004156D6" w:rsidRDefault="00000000">
            <w:pPr>
              <w:keepNext/>
              <w:keepLines/>
              <w:spacing w:after="0" w:line="240" w:lineRule="auto"/>
              <w:jc w:val="center"/>
            </w:pPr>
            <w:r>
              <w:rPr>
                <w:b/>
                <w:sz w:val="18"/>
              </w:rPr>
              <w:t>Indeks (%)</w:t>
            </w:r>
          </w:p>
        </w:tc>
      </w:tr>
      <w:tr w:rsidR="004156D6" w14:paraId="19CB8701" w14:textId="77777777">
        <w:tblPrEx>
          <w:tblCellMar>
            <w:top w:w="0" w:type="dxa"/>
            <w:bottom w:w="0" w:type="dxa"/>
          </w:tblCellMar>
        </w:tblPrEx>
        <w:trPr>
          <w:cantSplit/>
          <w:trHeight w:val="560"/>
        </w:trPr>
        <w:tc>
          <w:tcPr>
            <w:tcW w:w="700" w:type="dxa"/>
            <w:tcMar>
              <w:top w:w="0" w:type="dxa"/>
              <w:bottom w:w="0" w:type="dxa"/>
            </w:tcMar>
            <w:vAlign w:val="center"/>
          </w:tcPr>
          <w:p w14:paraId="7B882200" w14:textId="77777777" w:rsidR="004156D6" w:rsidRDefault="00000000">
            <w:pPr>
              <w:keepNext/>
              <w:keepLines/>
              <w:spacing w:after="0" w:line="240" w:lineRule="auto"/>
            </w:pPr>
            <w:r>
              <w:rPr>
                <w:sz w:val="18"/>
              </w:rPr>
              <w:t>451</w:t>
            </w:r>
          </w:p>
        </w:tc>
        <w:tc>
          <w:tcPr>
            <w:tcW w:w="3180" w:type="dxa"/>
            <w:tcMar>
              <w:top w:w="0" w:type="dxa"/>
              <w:bottom w:w="0" w:type="dxa"/>
            </w:tcMar>
            <w:vAlign w:val="center"/>
          </w:tcPr>
          <w:p w14:paraId="308D63B8" w14:textId="77777777" w:rsidR="004156D6"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3B375E4A" w14:textId="77777777" w:rsidR="004156D6" w:rsidRDefault="00000000">
            <w:pPr>
              <w:keepNext/>
              <w:keepLines/>
              <w:spacing w:after="0" w:line="240" w:lineRule="auto"/>
            </w:pPr>
            <w:r>
              <w:rPr>
                <w:sz w:val="18"/>
              </w:rPr>
              <w:t>451</w:t>
            </w:r>
          </w:p>
        </w:tc>
        <w:tc>
          <w:tcPr>
            <w:tcW w:w="1860" w:type="dxa"/>
            <w:tcMar>
              <w:top w:w="0" w:type="dxa"/>
              <w:bottom w:w="0" w:type="dxa"/>
            </w:tcMar>
            <w:vAlign w:val="center"/>
          </w:tcPr>
          <w:p w14:paraId="56290B8E" w14:textId="77777777" w:rsidR="004156D6" w:rsidRDefault="00000000">
            <w:pPr>
              <w:keepNext/>
              <w:keepLines/>
              <w:spacing w:after="0" w:line="240" w:lineRule="auto"/>
              <w:jc w:val="right"/>
            </w:pPr>
            <w:r>
              <w:rPr>
                <w:sz w:val="18"/>
              </w:rPr>
              <w:t>3.468,75</w:t>
            </w:r>
          </w:p>
        </w:tc>
        <w:tc>
          <w:tcPr>
            <w:tcW w:w="1860" w:type="dxa"/>
            <w:tcMar>
              <w:top w:w="0" w:type="dxa"/>
              <w:bottom w:w="0" w:type="dxa"/>
            </w:tcMar>
            <w:vAlign w:val="center"/>
          </w:tcPr>
          <w:p w14:paraId="7FAD3C25" w14:textId="77777777" w:rsidR="004156D6" w:rsidRDefault="00000000">
            <w:pPr>
              <w:keepNext/>
              <w:keepLines/>
              <w:spacing w:after="0" w:line="240" w:lineRule="auto"/>
              <w:jc w:val="right"/>
            </w:pPr>
            <w:r>
              <w:rPr>
                <w:sz w:val="18"/>
              </w:rPr>
              <w:t>204.520,56</w:t>
            </w:r>
          </w:p>
        </w:tc>
        <w:tc>
          <w:tcPr>
            <w:tcW w:w="700" w:type="dxa"/>
            <w:tcMar>
              <w:top w:w="0" w:type="dxa"/>
              <w:bottom w:w="0" w:type="dxa"/>
            </w:tcMar>
            <w:vAlign w:val="center"/>
          </w:tcPr>
          <w:p w14:paraId="33E9576C" w14:textId="77777777" w:rsidR="004156D6" w:rsidRDefault="00000000">
            <w:pPr>
              <w:keepNext/>
              <w:keepLines/>
              <w:spacing w:after="0" w:line="240" w:lineRule="auto"/>
              <w:jc w:val="right"/>
            </w:pPr>
            <w:r>
              <w:rPr>
                <w:sz w:val="18"/>
              </w:rPr>
              <w:t>5896,1</w:t>
            </w:r>
          </w:p>
        </w:tc>
      </w:tr>
    </w:tbl>
    <w:p w14:paraId="3006F0C1" w14:textId="77777777" w:rsidR="004156D6" w:rsidRDefault="004156D6">
      <w:pPr>
        <w:spacing w:after="0"/>
      </w:pPr>
    </w:p>
    <w:p w14:paraId="154EE938" w14:textId="77777777" w:rsidR="004156D6" w:rsidRDefault="00000000">
      <w:r>
        <w:t>Povećanje od 4.896,1% u odnosu na izvještajno razdoblje prethodne godine odnosi se na projekt Energetske obnove Muzeja čiji su radovi počeli u 2025. godini.</w:t>
      </w:r>
    </w:p>
    <w:p w14:paraId="0F55B94D" w14:textId="77777777" w:rsidR="004156D6" w:rsidRDefault="004156D6"/>
    <w:p w14:paraId="66B27C0A" w14:textId="77777777" w:rsidR="004156D6"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043B84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4D66E5"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71422B"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0469CD"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5BB2D0"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E7D17F"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5CB93F" w14:textId="77777777" w:rsidR="004156D6" w:rsidRDefault="00000000">
            <w:pPr>
              <w:keepNext/>
              <w:keepLines/>
              <w:spacing w:after="0" w:line="240" w:lineRule="auto"/>
              <w:jc w:val="center"/>
            </w:pPr>
            <w:r>
              <w:rPr>
                <w:b/>
                <w:sz w:val="18"/>
              </w:rPr>
              <w:t>Indeks (%)</w:t>
            </w:r>
          </w:p>
        </w:tc>
      </w:tr>
      <w:tr w:rsidR="004156D6" w14:paraId="79FB3D04" w14:textId="77777777">
        <w:tblPrEx>
          <w:tblCellMar>
            <w:top w:w="0" w:type="dxa"/>
            <w:bottom w:w="0" w:type="dxa"/>
          </w:tblCellMar>
        </w:tblPrEx>
        <w:trPr>
          <w:cantSplit/>
          <w:trHeight w:val="560"/>
        </w:trPr>
        <w:tc>
          <w:tcPr>
            <w:tcW w:w="700" w:type="dxa"/>
            <w:tcMar>
              <w:top w:w="0" w:type="dxa"/>
              <w:bottom w:w="0" w:type="dxa"/>
            </w:tcMar>
            <w:vAlign w:val="center"/>
          </w:tcPr>
          <w:p w14:paraId="7A43ACDE" w14:textId="77777777" w:rsidR="004156D6" w:rsidRDefault="00000000">
            <w:pPr>
              <w:keepNext/>
              <w:keepLines/>
              <w:spacing w:after="0" w:line="240" w:lineRule="auto"/>
            </w:pPr>
            <w:r>
              <w:rPr>
                <w:sz w:val="18"/>
              </w:rPr>
              <w:t>452</w:t>
            </w:r>
          </w:p>
        </w:tc>
        <w:tc>
          <w:tcPr>
            <w:tcW w:w="3180" w:type="dxa"/>
            <w:tcMar>
              <w:top w:w="0" w:type="dxa"/>
              <w:bottom w:w="0" w:type="dxa"/>
            </w:tcMar>
            <w:vAlign w:val="center"/>
          </w:tcPr>
          <w:p w14:paraId="114BBBAF" w14:textId="77777777" w:rsidR="004156D6" w:rsidRDefault="00000000">
            <w:pPr>
              <w:keepNext/>
              <w:keepLines/>
              <w:spacing w:after="0" w:line="240" w:lineRule="auto"/>
            </w:pPr>
            <w:r>
              <w:rPr>
                <w:sz w:val="18"/>
              </w:rPr>
              <w:t>Dodatna ulaganja na postrojenjima i opremi</w:t>
            </w:r>
          </w:p>
        </w:tc>
        <w:tc>
          <w:tcPr>
            <w:tcW w:w="700" w:type="dxa"/>
            <w:tcMar>
              <w:top w:w="0" w:type="dxa"/>
              <w:bottom w:w="0" w:type="dxa"/>
            </w:tcMar>
            <w:vAlign w:val="center"/>
          </w:tcPr>
          <w:p w14:paraId="216BE5F1" w14:textId="77777777" w:rsidR="004156D6" w:rsidRDefault="00000000">
            <w:pPr>
              <w:keepNext/>
              <w:keepLines/>
              <w:spacing w:after="0" w:line="240" w:lineRule="auto"/>
            </w:pPr>
            <w:r>
              <w:rPr>
                <w:sz w:val="18"/>
              </w:rPr>
              <w:t>452</w:t>
            </w:r>
          </w:p>
        </w:tc>
        <w:tc>
          <w:tcPr>
            <w:tcW w:w="1860" w:type="dxa"/>
            <w:tcMar>
              <w:top w:w="0" w:type="dxa"/>
              <w:bottom w:w="0" w:type="dxa"/>
            </w:tcMar>
            <w:vAlign w:val="center"/>
          </w:tcPr>
          <w:p w14:paraId="43611F53" w14:textId="77777777" w:rsidR="004156D6" w:rsidRDefault="00000000">
            <w:pPr>
              <w:keepNext/>
              <w:keepLines/>
              <w:spacing w:after="0" w:line="240" w:lineRule="auto"/>
              <w:jc w:val="right"/>
            </w:pPr>
            <w:r>
              <w:rPr>
                <w:sz w:val="18"/>
              </w:rPr>
              <w:t>102.844,00</w:t>
            </w:r>
          </w:p>
        </w:tc>
        <w:tc>
          <w:tcPr>
            <w:tcW w:w="1860" w:type="dxa"/>
            <w:tcMar>
              <w:top w:w="0" w:type="dxa"/>
              <w:bottom w:w="0" w:type="dxa"/>
            </w:tcMar>
            <w:vAlign w:val="center"/>
          </w:tcPr>
          <w:p w14:paraId="7FFB85A5" w14:textId="77777777" w:rsidR="004156D6" w:rsidRDefault="00000000">
            <w:pPr>
              <w:keepNext/>
              <w:keepLines/>
              <w:spacing w:after="0" w:line="240" w:lineRule="auto"/>
              <w:jc w:val="right"/>
            </w:pPr>
            <w:r>
              <w:rPr>
                <w:sz w:val="18"/>
              </w:rPr>
              <w:t>214.397,50</w:t>
            </w:r>
          </w:p>
        </w:tc>
        <w:tc>
          <w:tcPr>
            <w:tcW w:w="700" w:type="dxa"/>
            <w:tcMar>
              <w:top w:w="0" w:type="dxa"/>
              <w:bottom w:w="0" w:type="dxa"/>
            </w:tcMar>
            <w:vAlign w:val="center"/>
          </w:tcPr>
          <w:p w14:paraId="6F430A9E" w14:textId="77777777" w:rsidR="004156D6" w:rsidRDefault="00000000">
            <w:pPr>
              <w:keepNext/>
              <w:keepLines/>
              <w:spacing w:after="0" w:line="240" w:lineRule="auto"/>
              <w:jc w:val="right"/>
            </w:pPr>
            <w:r>
              <w:rPr>
                <w:sz w:val="18"/>
              </w:rPr>
              <w:t>208,5</w:t>
            </w:r>
          </w:p>
        </w:tc>
      </w:tr>
    </w:tbl>
    <w:p w14:paraId="3660B8C4" w14:textId="77777777" w:rsidR="004156D6" w:rsidRDefault="004156D6">
      <w:pPr>
        <w:spacing w:after="0"/>
      </w:pPr>
    </w:p>
    <w:p w14:paraId="379D09DA" w14:textId="77777777" w:rsidR="004156D6" w:rsidRDefault="00000000">
      <w:r>
        <w:t>Povećanje od 108,5% odnosi se na nabavu multimedijalne opreme za Stalni postav.</w:t>
      </w:r>
    </w:p>
    <w:p w14:paraId="1E8FB116" w14:textId="77777777" w:rsidR="004156D6" w:rsidRDefault="004156D6"/>
    <w:p w14:paraId="09895803" w14:textId="77777777" w:rsidR="004156D6"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146E13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021559"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F9E241"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69B93E"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F47370"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FD6986"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C631B6" w14:textId="77777777" w:rsidR="004156D6" w:rsidRDefault="00000000">
            <w:pPr>
              <w:keepNext/>
              <w:keepLines/>
              <w:spacing w:after="0" w:line="240" w:lineRule="auto"/>
              <w:jc w:val="center"/>
            </w:pPr>
            <w:r>
              <w:rPr>
                <w:b/>
                <w:sz w:val="18"/>
              </w:rPr>
              <w:t>Indeks (%)</w:t>
            </w:r>
          </w:p>
        </w:tc>
      </w:tr>
      <w:tr w:rsidR="004156D6" w14:paraId="1C106DE0" w14:textId="77777777">
        <w:tblPrEx>
          <w:tblCellMar>
            <w:top w:w="0" w:type="dxa"/>
            <w:bottom w:w="0" w:type="dxa"/>
          </w:tblCellMar>
        </w:tblPrEx>
        <w:trPr>
          <w:cantSplit/>
          <w:trHeight w:val="560"/>
        </w:trPr>
        <w:tc>
          <w:tcPr>
            <w:tcW w:w="700" w:type="dxa"/>
            <w:tcMar>
              <w:top w:w="0" w:type="dxa"/>
              <w:bottom w:w="0" w:type="dxa"/>
            </w:tcMar>
            <w:vAlign w:val="center"/>
          </w:tcPr>
          <w:p w14:paraId="5DDC830D" w14:textId="77777777" w:rsidR="004156D6" w:rsidRDefault="004156D6">
            <w:pPr>
              <w:keepNext/>
              <w:keepLines/>
              <w:spacing w:after="0" w:line="240" w:lineRule="auto"/>
            </w:pPr>
          </w:p>
        </w:tc>
        <w:tc>
          <w:tcPr>
            <w:tcW w:w="3180" w:type="dxa"/>
            <w:tcMar>
              <w:top w:w="0" w:type="dxa"/>
              <w:bottom w:w="0" w:type="dxa"/>
            </w:tcMar>
            <w:vAlign w:val="center"/>
          </w:tcPr>
          <w:p w14:paraId="6F9C7A90" w14:textId="77777777" w:rsidR="004156D6"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6116D548" w14:textId="77777777" w:rsidR="004156D6" w:rsidRDefault="00000000">
            <w:pPr>
              <w:keepNext/>
              <w:keepLines/>
              <w:spacing w:after="0" w:line="240" w:lineRule="auto"/>
            </w:pPr>
            <w:r>
              <w:rPr>
                <w:sz w:val="18"/>
              </w:rPr>
              <w:t>Y006</w:t>
            </w:r>
          </w:p>
        </w:tc>
        <w:tc>
          <w:tcPr>
            <w:tcW w:w="1860" w:type="dxa"/>
            <w:tcMar>
              <w:top w:w="0" w:type="dxa"/>
              <w:bottom w:w="0" w:type="dxa"/>
            </w:tcMar>
            <w:vAlign w:val="center"/>
          </w:tcPr>
          <w:p w14:paraId="44010572" w14:textId="77777777" w:rsidR="004156D6" w:rsidRDefault="00000000">
            <w:pPr>
              <w:keepNext/>
              <w:keepLines/>
              <w:spacing w:after="0" w:line="240" w:lineRule="auto"/>
              <w:jc w:val="right"/>
            </w:pPr>
            <w:r>
              <w:rPr>
                <w:sz w:val="18"/>
              </w:rPr>
              <w:t>59.074,32</w:t>
            </w:r>
          </w:p>
        </w:tc>
        <w:tc>
          <w:tcPr>
            <w:tcW w:w="1860" w:type="dxa"/>
            <w:tcMar>
              <w:top w:w="0" w:type="dxa"/>
              <w:bottom w:w="0" w:type="dxa"/>
            </w:tcMar>
            <w:vAlign w:val="center"/>
          </w:tcPr>
          <w:p w14:paraId="763ABB88" w14:textId="77777777" w:rsidR="004156D6" w:rsidRDefault="00000000">
            <w:pPr>
              <w:keepNext/>
              <w:keepLines/>
              <w:spacing w:after="0" w:line="240" w:lineRule="auto"/>
              <w:jc w:val="right"/>
            </w:pPr>
            <w:r>
              <w:rPr>
                <w:sz w:val="18"/>
              </w:rPr>
              <w:t>268.198,72</w:t>
            </w:r>
          </w:p>
        </w:tc>
        <w:tc>
          <w:tcPr>
            <w:tcW w:w="700" w:type="dxa"/>
            <w:tcMar>
              <w:top w:w="0" w:type="dxa"/>
              <w:bottom w:w="0" w:type="dxa"/>
            </w:tcMar>
            <w:vAlign w:val="center"/>
          </w:tcPr>
          <w:p w14:paraId="4639376F" w14:textId="77777777" w:rsidR="004156D6" w:rsidRDefault="00000000">
            <w:pPr>
              <w:keepNext/>
              <w:keepLines/>
              <w:spacing w:after="0" w:line="240" w:lineRule="auto"/>
              <w:jc w:val="right"/>
            </w:pPr>
            <w:r>
              <w:rPr>
                <w:sz w:val="18"/>
              </w:rPr>
              <w:t>454,0</w:t>
            </w:r>
          </w:p>
        </w:tc>
      </w:tr>
    </w:tbl>
    <w:p w14:paraId="3D53E7F7" w14:textId="77777777" w:rsidR="004156D6" w:rsidRDefault="004156D6">
      <w:pPr>
        <w:spacing w:after="0"/>
      </w:pPr>
    </w:p>
    <w:p w14:paraId="56F6D468" w14:textId="77777777" w:rsidR="004156D6" w:rsidRDefault="00000000">
      <w:r>
        <w:t>Odstupanje od prethodnog izvještajnog razdoblja iznosi 354% i ukupni manjak prihoda i primitaka za pokriće u sljedećem razdoblju sastoji se od manjka prihoda i primitaka iz ovog izvještajnog razdoblja te od prenesenog manjka prihoda i primitaka iz 2024. godine. Manjak prihoda i primitaka iz ovog izvještajnog razdoblja iznosi 209.124,40 EUR , a preneseni manjak prihoda i primitaka je u iznosu od 59.074,32 EUR.</w:t>
      </w:r>
    </w:p>
    <w:p w14:paraId="563F8647" w14:textId="77777777" w:rsidR="004156D6" w:rsidRDefault="004156D6"/>
    <w:p w14:paraId="5E0F2C3B" w14:textId="77777777" w:rsidR="004156D6"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5B2327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20B67E"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05B833"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782763"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8BD6E9"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C0693C"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91EC4D" w14:textId="77777777" w:rsidR="004156D6" w:rsidRDefault="00000000">
            <w:pPr>
              <w:keepNext/>
              <w:keepLines/>
              <w:spacing w:after="0" w:line="240" w:lineRule="auto"/>
              <w:jc w:val="center"/>
            </w:pPr>
            <w:r>
              <w:rPr>
                <w:b/>
                <w:sz w:val="18"/>
              </w:rPr>
              <w:t>Indeks (%)</w:t>
            </w:r>
          </w:p>
        </w:tc>
      </w:tr>
      <w:tr w:rsidR="004156D6" w14:paraId="60D52DBF" w14:textId="77777777">
        <w:tblPrEx>
          <w:tblCellMar>
            <w:top w:w="0" w:type="dxa"/>
            <w:bottom w:w="0" w:type="dxa"/>
          </w:tblCellMar>
        </w:tblPrEx>
        <w:trPr>
          <w:cantSplit/>
          <w:trHeight w:val="560"/>
        </w:trPr>
        <w:tc>
          <w:tcPr>
            <w:tcW w:w="700" w:type="dxa"/>
            <w:tcMar>
              <w:top w:w="0" w:type="dxa"/>
              <w:bottom w:w="0" w:type="dxa"/>
            </w:tcMar>
            <w:vAlign w:val="center"/>
          </w:tcPr>
          <w:p w14:paraId="6E9F13B0" w14:textId="77777777" w:rsidR="004156D6" w:rsidRDefault="00000000">
            <w:pPr>
              <w:keepNext/>
              <w:keepLines/>
              <w:spacing w:after="0" w:line="240" w:lineRule="auto"/>
            </w:pPr>
            <w:r>
              <w:rPr>
                <w:sz w:val="18"/>
              </w:rPr>
              <w:t>63612</w:t>
            </w:r>
          </w:p>
        </w:tc>
        <w:tc>
          <w:tcPr>
            <w:tcW w:w="3180" w:type="dxa"/>
            <w:tcMar>
              <w:top w:w="0" w:type="dxa"/>
              <w:bottom w:w="0" w:type="dxa"/>
            </w:tcMar>
            <w:vAlign w:val="center"/>
          </w:tcPr>
          <w:p w14:paraId="67C33694" w14:textId="77777777" w:rsidR="004156D6" w:rsidRDefault="00000000">
            <w:pPr>
              <w:keepNext/>
              <w:keepLines/>
              <w:spacing w:after="0" w:line="240" w:lineRule="auto"/>
            </w:pPr>
            <w:r>
              <w:rPr>
                <w:sz w:val="18"/>
              </w:rPr>
              <w:t>Tekuće pomoći iz državnog proračuna proračunskim korisnicima proračuna JLP(R)S</w:t>
            </w:r>
          </w:p>
        </w:tc>
        <w:tc>
          <w:tcPr>
            <w:tcW w:w="700" w:type="dxa"/>
            <w:tcMar>
              <w:top w:w="0" w:type="dxa"/>
              <w:bottom w:w="0" w:type="dxa"/>
            </w:tcMar>
            <w:vAlign w:val="center"/>
          </w:tcPr>
          <w:p w14:paraId="4711BE7B" w14:textId="77777777" w:rsidR="004156D6" w:rsidRDefault="00000000">
            <w:pPr>
              <w:keepNext/>
              <w:keepLines/>
              <w:spacing w:after="0" w:line="240" w:lineRule="auto"/>
            </w:pPr>
            <w:r>
              <w:rPr>
                <w:sz w:val="18"/>
              </w:rPr>
              <w:t>63612</w:t>
            </w:r>
          </w:p>
        </w:tc>
        <w:tc>
          <w:tcPr>
            <w:tcW w:w="1860" w:type="dxa"/>
            <w:tcMar>
              <w:top w:w="0" w:type="dxa"/>
              <w:bottom w:w="0" w:type="dxa"/>
            </w:tcMar>
            <w:vAlign w:val="center"/>
          </w:tcPr>
          <w:p w14:paraId="0EC5520C" w14:textId="77777777" w:rsidR="004156D6" w:rsidRDefault="00000000">
            <w:pPr>
              <w:keepNext/>
              <w:keepLines/>
              <w:spacing w:after="0" w:line="240" w:lineRule="auto"/>
              <w:jc w:val="right"/>
            </w:pPr>
            <w:r>
              <w:rPr>
                <w:sz w:val="18"/>
              </w:rPr>
              <w:t>58.562,00</w:t>
            </w:r>
          </w:p>
        </w:tc>
        <w:tc>
          <w:tcPr>
            <w:tcW w:w="1860" w:type="dxa"/>
            <w:tcMar>
              <w:top w:w="0" w:type="dxa"/>
              <w:bottom w:w="0" w:type="dxa"/>
            </w:tcMar>
            <w:vAlign w:val="center"/>
          </w:tcPr>
          <w:p w14:paraId="42E95646" w14:textId="77777777" w:rsidR="004156D6" w:rsidRDefault="00000000">
            <w:pPr>
              <w:keepNext/>
              <w:keepLines/>
              <w:spacing w:after="0" w:line="240" w:lineRule="auto"/>
              <w:jc w:val="right"/>
            </w:pPr>
            <w:r>
              <w:rPr>
                <w:sz w:val="18"/>
              </w:rPr>
              <w:t>100.539,50</w:t>
            </w:r>
          </w:p>
        </w:tc>
        <w:tc>
          <w:tcPr>
            <w:tcW w:w="700" w:type="dxa"/>
            <w:tcMar>
              <w:top w:w="0" w:type="dxa"/>
              <w:bottom w:w="0" w:type="dxa"/>
            </w:tcMar>
            <w:vAlign w:val="center"/>
          </w:tcPr>
          <w:p w14:paraId="0C9F92F3" w14:textId="77777777" w:rsidR="004156D6" w:rsidRDefault="00000000">
            <w:pPr>
              <w:keepNext/>
              <w:keepLines/>
              <w:spacing w:after="0" w:line="240" w:lineRule="auto"/>
              <w:jc w:val="right"/>
            </w:pPr>
            <w:r>
              <w:rPr>
                <w:sz w:val="18"/>
              </w:rPr>
              <w:t>171,7</w:t>
            </w:r>
          </w:p>
        </w:tc>
      </w:tr>
    </w:tbl>
    <w:p w14:paraId="6D48DE70" w14:textId="77777777" w:rsidR="004156D6" w:rsidRDefault="004156D6">
      <w:pPr>
        <w:spacing w:after="0"/>
      </w:pPr>
    </w:p>
    <w:p w14:paraId="1F8A57AA" w14:textId="77777777" w:rsidR="004156D6" w:rsidRDefault="00000000">
      <w:r>
        <w:t xml:space="preserve">Povećanje stavke za 71,7% u odnosu na prethodno razdoblje odnosi se na povećane tekuće pomoći iz državnog proračuna za 11 odobrenih programa </w:t>
      </w:r>
      <w:proofErr w:type="spellStart"/>
      <w:r>
        <w:t>Ministrstva</w:t>
      </w:r>
      <w:proofErr w:type="spellEnd"/>
      <w:r>
        <w:t xml:space="preserve"> kulture i medija.</w:t>
      </w:r>
    </w:p>
    <w:p w14:paraId="1951DAAB" w14:textId="77777777" w:rsidR="004156D6" w:rsidRDefault="004156D6"/>
    <w:p w14:paraId="743E97A7" w14:textId="77777777" w:rsidR="004156D6"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6DF367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4CD117"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FE16BA"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BAC053"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71196E"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E94C4E"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2120C9" w14:textId="77777777" w:rsidR="004156D6" w:rsidRDefault="00000000">
            <w:pPr>
              <w:keepNext/>
              <w:keepLines/>
              <w:spacing w:after="0" w:line="240" w:lineRule="auto"/>
              <w:jc w:val="center"/>
            </w:pPr>
            <w:r>
              <w:rPr>
                <w:b/>
                <w:sz w:val="18"/>
              </w:rPr>
              <w:t>Indeks (%)</w:t>
            </w:r>
          </w:p>
        </w:tc>
      </w:tr>
      <w:tr w:rsidR="004156D6" w14:paraId="2E046030" w14:textId="77777777">
        <w:tblPrEx>
          <w:tblCellMar>
            <w:top w:w="0" w:type="dxa"/>
            <w:bottom w:w="0" w:type="dxa"/>
          </w:tblCellMar>
        </w:tblPrEx>
        <w:trPr>
          <w:cantSplit/>
          <w:trHeight w:val="560"/>
        </w:trPr>
        <w:tc>
          <w:tcPr>
            <w:tcW w:w="700" w:type="dxa"/>
            <w:tcMar>
              <w:top w:w="0" w:type="dxa"/>
              <w:bottom w:w="0" w:type="dxa"/>
            </w:tcMar>
            <w:vAlign w:val="center"/>
          </w:tcPr>
          <w:p w14:paraId="2DCFF714" w14:textId="77777777" w:rsidR="004156D6" w:rsidRDefault="00000000">
            <w:pPr>
              <w:keepNext/>
              <w:keepLines/>
              <w:spacing w:after="0" w:line="240" w:lineRule="auto"/>
            </w:pPr>
            <w:r>
              <w:rPr>
                <w:sz w:val="18"/>
              </w:rPr>
              <w:t>63613</w:t>
            </w:r>
          </w:p>
        </w:tc>
        <w:tc>
          <w:tcPr>
            <w:tcW w:w="3180" w:type="dxa"/>
            <w:tcMar>
              <w:top w:w="0" w:type="dxa"/>
              <w:bottom w:w="0" w:type="dxa"/>
            </w:tcMar>
            <w:vAlign w:val="center"/>
          </w:tcPr>
          <w:p w14:paraId="1E4693F5" w14:textId="77777777" w:rsidR="004156D6" w:rsidRDefault="00000000">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14:paraId="14A6E1BE" w14:textId="77777777" w:rsidR="004156D6" w:rsidRDefault="00000000">
            <w:pPr>
              <w:keepNext/>
              <w:keepLines/>
              <w:spacing w:after="0" w:line="240" w:lineRule="auto"/>
            </w:pPr>
            <w:r>
              <w:rPr>
                <w:sz w:val="18"/>
              </w:rPr>
              <w:t>63613</w:t>
            </w:r>
          </w:p>
        </w:tc>
        <w:tc>
          <w:tcPr>
            <w:tcW w:w="1860" w:type="dxa"/>
            <w:tcMar>
              <w:top w:w="0" w:type="dxa"/>
              <w:bottom w:w="0" w:type="dxa"/>
            </w:tcMar>
            <w:vAlign w:val="center"/>
          </w:tcPr>
          <w:p w14:paraId="612EF14A" w14:textId="77777777" w:rsidR="004156D6" w:rsidRDefault="00000000">
            <w:pPr>
              <w:keepNext/>
              <w:keepLines/>
              <w:spacing w:after="0" w:line="240" w:lineRule="auto"/>
              <w:jc w:val="right"/>
            </w:pPr>
            <w:r>
              <w:rPr>
                <w:sz w:val="18"/>
              </w:rPr>
              <w:t>27.068,99</w:t>
            </w:r>
          </w:p>
        </w:tc>
        <w:tc>
          <w:tcPr>
            <w:tcW w:w="1860" w:type="dxa"/>
            <w:tcMar>
              <w:top w:w="0" w:type="dxa"/>
              <w:bottom w:w="0" w:type="dxa"/>
            </w:tcMar>
            <w:vAlign w:val="center"/>
          </w:tcPr>
          <w:p w14:paraId="60EB97B8" w14:textId="77777777" w:rsidR="004156D6" w:rsidRDefault="00000000">
            <w:pPr>
              <w:keepNext/>
              <w:keepLines/>
              <w:spacing w:after="0" w:line="240" w:lineRule="auto"/>
              <w:jc w:val="right"/>
            </w:pPr>
            <w:r>
              <w:rPr>
                <w:sz w:val="18"/>
              </w:rPr>
              <w:t>20.000,00</w:t>
            </w:r>
          </w:p>
        </w:tc>
        <w:tc>
          <w:tcPr>
            <w:tcW w:w="700" w:type="dxa"/>
            <w:tcMar>
              <w:top w:w="0" w:type="dxa"/>
              <w:bottom w:w="0" w:type="dxa"/>
            </w:tcMar>
            <w:vAlign w:val="center"/>
          </w:tcPr>
          <w:p w14:paraId="49286701" w14:textId="77777777" w:rsidR="004156D6" w:rsidRDefault="00000000">
            <w:pPr>
              <w:keepNext/>
              <w:keepLines/>
              <w:spacing w:after="0" w:line="240" w:lineRule="auto"/>
              <w:jc w:val="right"/>
            </w:pPr>
            <w:r>
              <w:rPr>
                <w:sz w:val="18"/>
              </w:rPr>
              <w:t>73,9</w:t>
            </w:r>
          </w:p>
        </w:tc>
      </w:tr>
    </w:tbl>
    <w:p w14:paraId="78EAEE92" w14:textId="77777777" w:rsidR="004156D6" w:rsidRDefault="004156D6">
      <w:pPr>
        <w:spacing w:after="0"/>
      </w:pPr>
    </w:p>
    <w:p w14:paraId="67CF4EC6" w14:textId="77777777" w:rsidR="004156D6" w:rsidRDefault="00000000">
      <w:r>
        <w:t>Smanjenje stavke u odnosu na prethodno razdoblje odnosi se na smanjene tekuće pomoći od Grada Vodica i Šibensko-kninske županije.</w:t>
      </w:r>
    </w:p>
    <w:p w14:paraId="170DE5F6" w14:textId="77777777" w:rsidR="004156D6" w:rsidRDefault="004156D6"/>
    <w:p w14:paraId="0B3BD4A7" w14:textId="77777777" w:rsidR="004156D6"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530747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59CCAF"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0E0A06"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A367B6"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CEA1A9"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1CA37E"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B8DD1B" w14:textId="77777777" w:rsidR="004156D6" w:rsidRDefault="00000000">
            <w:pPr>
              <w:keepNext/>
              <w:keepLines/>
              <w:spacing w:after="0" w:line="240" w:lineRule="auto"/>
              <w:jc w:val="center"/>
            </w:pPr>
            <w:r>
              <w:rPr>
                <w:b/>
                <w:sz w:val="18"/>
              </w:rPr>
              <w:t>Indeks (%)</w:t>
            </w:r>
          </w:p>
        </w:tc>
      </w:tr>
      <w:tr w:rsidR="004156D6" w14:paraId="4E7F312F" w14:textId="77777777">
        <w:tblPrEx>
          <w:tblCellMar>
            <w:top w:w="0" w:type="dxa"/>
            <w:bottom w:w="0" w:type="dxa"/>
          </w:tblCellMar>
        </w:tblPrEx>
        <w:trPr>
          <w:cantSplit/>
          <w:trHeight w:val="560"/>
        </w:trPr>
        <w:tc>
          <w:tcPr>
            <w:tcW w:w="700" w:type="dxa"/>
            <w:tcMar>
              <w:top w:w="0" w:type="dxa"/>
              <w:bottom w:w="0" w:type="dxa"/>
            </w:tcMar>
            <w:vAlign w:val="center"/>
          </w:tcPr>
          <w:p w14:paraId="595B3C86" w14:textId="77777777" w:rsidR="004156D6" w:rsidRDefault="00000000">
            <w:pPr>
              <w:keepNext/>
              <w:keepLines/>
              <w:spacing w:after="0" w:line="240" w:lineRule="auto"/>
            </w:pPr>
            <w:r>
              <w:rPr>
                <w:sz w:val="18"/>
              </w:rPr>
              <w:t>32351</w:t>
            </w:r>
          </w:p>
        </w:tc>
        <w:tc>
          <w:tcPr>
            <w:tcW w:w="3180" w:type="dxa"/>
            <w:tcMar>
              <w:top w:w="0" w:type="dxa"/>
              <w:bottom w:w="0" w:type="dxa"/>
            </w:tcMar>
            <w:vAlign w:val="center"/>
          </w:tcPr>
          <w:p w14:paraId="1C2DB67A" w14:textId="77777777" w:rsidR="004156D6" w:rsidRDefault="00000000">
            <w:pPr>
              <w:keepNext/>
              <w:keepLines/>
              <w:spacing w:after="0" w:line="240" w:lineRule="auto"/>
            </w:pPr>
            <w:r>
              <w:rPr>
                <w:sz w:val="18"/>
              </w:rPr>
              <w:t>Zakupnine za zemljišta</w:t>
            </w:r>
          </w:p>
        </w:tc>
        <w:tc>
          <w:tcPr>
            <w:tcW w:w="700" w:type="dxa"/>
            <w:tcMar>
              <w:top w:w="0" w:type="dxa"/>
              <w:bottom w:w="0" w:type="dxa"/>
            </w:tcMar>
            <w:vAlign w:val="center"/>
          </w:tcPr>
          <w:p w14:paraId="20BE18F9" w14:textId="77777777" w:rsidR="004156D6" w:rsidRDefault="00000000">
            <w:pPr>
              <w:keepNext/>
              <w:keepLines/>
              <w:spacing w:after="0" w:line="240" w:lineRule="auto"/>
            </w:pPr>
            <w:r>
              <w:rPr>
                <w:sz w:val="18"/>
              </w:rPr>
              <w:t>32351</w:t>
            </w:r>
          </w:p>
        </w:tc>
        <w:tc>
          <w:tcPr>
            <w:tcW w:w="1860" w:type="dxa"/>
            <w:tcMar>
              <w:top w:w="0" w:type="dxa"/>
              <w:bottom w:w="0" w:type="dxa"/>
            </w:tcMar>
            <w:vAlign w:val="center"/>
          </w:tcPr>
          <w:p w14:paraId="37D0DA34" w14:textId="77777777" w:rsidR="004156D6" w:rsidRDefault="00000000">
            <w:pPr>
              <w:keepNext/>
              <w:keepLines/>
              <w:spacing w:after="0" w:line="240" w:lineRule="auto"/>
              <w:jc w:val="right"/>
            </w:pPr>
            <w:r>
              <w:rPr>
                <w:sz w:val="18"/>
              </w:rPr>
              <w:t>300,00</w:t>
            </w:r>
          </w:p>
        </w:tc>
        <w:tc>
          <w:tcPr>
            <w:tcW w:w="1860" w:type="dxa"/>
            <w:tcMar>
              <w:top w:w="0" w:type="dxa"/>
              <w:bottom w:w="0" w:type="dxa"/>
            </w:tcMar>
            <w:vAlign w:val="center"/>
          </w:tcPr>
          <w:p w14:paraId="624FDD3F" w14:textId="77777777" w:rsidR="004156D6" w:rsidRDefault="00000000">
            <w:pPr>
              <w:keepNext/>
              <w:keepLines/>
              <w:spacing w:after="0" w:line="240" w:lineRule="auto"/>
              <w:jc w:val="right"/>
            </w:pPr>
            <w:r>
              <w:rPr>
                <w:sz w:val="18"/>
              </w:rPr>
              <w:t>800,00</w:t>
            </w:r>
          </w:p>
        </w:tc>
        <w:tc>
          <w:tcPr>
            <w:tcW w:w="700" w:type="dxa"/>
            <w:tcMar>
              <w:top w:w="0" w:type="dxa"/>
              <w:bottom w:w="0" w:type="dxa"/>
            </w:tcMar>
            <w:vAlign w:val="center"/>
          </w:tcPr>
          <w:p w14:paraId="2CE7AA5B" w14:textId="77777777" w:rsidR="004156D6" w:rsidRDefault="00000000">
            <w:pPr>
              <w:keepNext/>
              <w:keepLines/>
              <w:spacing w:after="0" w:line="240" w:lineRule="auto"/>
              <w:jc w:val="right"/>
            </w:pPr>
            <w:r>
              <w:rPr>
                <w:sz w:val="18"/>
              </w:rPr>
              <w:t>266,7</w:t>
            </w:r>
          </w:p>
        </w:tc>
      </w:tr>
    </w:tbl>
    <w:p w14:paraId="008EC6E6" w14:textId="77777777" w:rsidR="004156D6" w:rsidRDefault="004156D6">
      <w:pPr>
        <w:spacing w:after="0"/>
      </w:pPr>
    </w:p>
    <w:p w14:paraId="00710B79" w14:textId="77777777" w:rsidR="004156D6" w:rsidRDefault="00000000">
      <w:r>
        <w:t xml:space="preserve">Povećanje od 166,7% u odnosu na izvještajno razdoblje prethodne godine odnosi se na korištenje zemljišta na arheološkim lokalitetima Danilo Kraljice i </w:t>
      </w:r>
      <w:proofErr w:type="spellStart"/>
      <w:r>
        <w:t>Velištak</w:t>
      </w:r>
      <w:proofErr w:type="spellEnd"/>
      <w:r>
        <w:t xml:space="preserve"> na određeno vrijeme kako bi se obavila arheološka istraživanja.</w:t>
      </w:r>
    </w:p>
    <w:p w14:paraId="0BD1D0FE" w14:textId="77777777" w:rsidR="004156D6" w:rsidRDefault="004156D6"/>
    <w:p w14:paraId="0B4B4973" w14:textId="77777777" w:rsidR="004156D6" w:rsidRDefault="00000000">
      <w:pPr>
        <w:keepNext/>
        <w:spacing w:line="240" w:lineRule="auto"/>
        <w:jc w:val="center"/>
      </w:pPr>
      <w:r>
        <w:rPr>
          <w:b/>
          <w:sz w:val="28"/>
        </w:rPr>
        <w:t>Bilanca</w:t>
      </w:r>
    </w:p>
    <w:p w14:paraId="624D6935" w14:textId="77777777" w:rsidR="004156D6"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4FAAF2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CA1258"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2E9B4D"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08B0F0"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78CA79"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FC2AEC"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076497" w14:textId="77777777" w:rsidR="004156D6" w:rsidRDefault="00000000">
            <w:pPr>
              <w:keepNext/>
              <w:keepLines/>
              <w:spacing w:after="0" w:line="240" w:lineRule="auto"/>
              <w:jc w:val="center"/>
            </w:pPr>
            <w:r>
              <w:rPr>
                <w:b/>
                <w:sz w:val="18"/>
              </w:rPr>
              <w:t>Indeks (%)</w:t>
            </w:r>
          </w:p>
        </w:tc>
      </w:tr>
      <w:tr w:rsidR="004156D6" w14:paraId="3D3D1987" w14:textId="77777777">
        <w:tblPrEx>
          <w:tblCellMar>
            <w:top w:w="0" w:type="dxa"/>
            <w:bottom w:w="0" w:type="dxa"/>
          </w:tblCellMar>
        </w:tblPrEx>
        <w:trPr>
          <w:cantSplit/>
          <w:trHeight w:val="560"/>
        </w:trPr>
        <w:tc>
          <w:tcPr>
            <w:tcW w:w="700" w:type="dxa"/>
            <w:tcMar>
              <w:top w:w="0" w:type="dxa"/>
              <w:bottom w:w="0" w:type="dxa"/>
            </w:tcMar>
            <w:vAlign w:val="center"/>
          </w:tcPr>
          <w:p w14:paraId="6C1DB70E" w14:textId="77777777" w:rsidR="004156D6" w:rsidRDefault="00000000">
            <w:pPr>
              <w:keepNext/>
              <w:keepLines/>
              <w:spacing w:after="0" w:line="240" w:lineRule="auto"/>
            </w:pPr>
            <w:r>
              <w:rPr>
                <w:sz w:val="18"/>
              </w:rPr>
              <w:t>0</w:t>
            </w:r>
          </w:p>
        </w:tc>
        <w:tc>
          <w:tcPr>
            <w:tcW w:w="3180" w:type="dxa"/>
            <w:tcMar>
              <w:top w:w="0" w:type="dxa"/>
              <w:bottom w:w="0" w:type="dxa"/>
            </w:tcMar>
            <w:vAlign w:val="center"/>
          </w:tcPr>
          <w:p w14:paraId="4B047A70" w14:textId="77777777" w:rsidR="004156D6"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05D9F953" w14:textId="77777777" w:rsidR="004156D6" w:rsidRDefault="00000000">
            <w:pPr>
              <w:keepNext/>
              <w:keepLines/>
              <w:spacing w:after="0" w:line="240" w:lineRule="auto"/>
            </w:pPr>
            <w:r>
              <w:rPr>
                <w:sz w:val="18"/>
              </w:rPr>
              <w:t>B002</w:t>
            </w:r>
          </w:p>
        </w:tc>
        <w:tc>
          <w:tcPr>
            <w:tcW w:w="1860" w:type="dxa"/>
            <w:tcMar>
              <w:top w:w="0" w:type="dxa"/>
              <w:bottom w:w="0" w:type="dxa"/>
            </w:tcMar>
            <w:vAlign w:val="center"/>
          </w:tcPr>
          <w:p w14:paraId="163EA871" w14:textId="77777777" w:rsidR="004156D6" w:rsidRDefault="00000000">
            <w:pPr>
              <w:keepNext/>
              <w:keepLines/>
              <w:spacing w:after="0" w:line="240" w:lineRule="auto"/>
              <w:jc w:val="right"/>
            </w:pPr>
            <w:r>
              <w:rPr>
                <w:sz w:val="18"/>
              </w:rPr>
              <w:t>6.819.753,47</w:t>
            </w:r>
          </w:p>
        </w:tc>
        <w:tc>
          <w:tcPr>
            <w:tcW w:w="1860" w:type="dxa"/>
            <w:tcMar>
              <w:top w:w="0" w:type="dxa"/>
              <w:bottom w:w="0" w:type="dxa"/>
            </w:tcMar>
            <w:vAlign w:val="center"/>
          </w:tcPr>
          <w:p w14:paraId="7CD0AEDE" w14:textId="77777777" w:rsidR="004156D6" w:rsidRDefault="00000000">
            <w:pPr>
              <w:keepNext/>
              <w:keepLines/>
              <w:spacing w:after="0" w:line="240" w:lineRule="auto"/>
              <w:jc w:val="right"/>
            </w:pPr>
            <w:r>
              <w:rPr>
                <w:sz w:val="18"/>
              </w:rPr>
              <w:t>7.246.405,99</w:t>
            </w:r>
          </w:p>
        </w:tc>
        <w:tc>
          <w:tcPr>
            <w:tcW w:w="700" w:type="dxa"/>
            <w:tcMar>
              <w:top w:w="0" w:type="dxa"/>
              <w:bottom w:w="0" w:type="dxa"/>
            </w:tcMar>
            <w:vAlign w:val="center"/>
          </w:tcPr>
          <w:p w14:paraId="6CD18736" w14:textId="77777777" w:rsidR="004156D6" w:rsidRDefault="00000000">
            <w:pPr>
              <w:keepNext/>
              <w:keepLines/>
              <w:spacing w:after="0" w:line="240" w:lineRule="auto"/>
              <w:jc w:val="right"/>
            </w:pPr>
            <w:r>
              <w:rPr>
                <w:sz w:val="18"/>
              </w:rPr>
              <w:t>106,3</w:t>
            </w:r>
          </w:p>
        </w:tc>
      </w:tr>
    </w:tbl>
    <w:p w14:paraId="6C093412" w14:textId="77777777" w:rsidR="004156D6" w:rsidRDefault="004156D6">
      <w:pPr>
        <w:spacing w:after="0"/>
      </w:pPr>
    </w:p>
    <w:p w14:paraId="381F8330" w14:textId="77777777" w:rsidR="004156D6" w:rsidRDefault="00000000">
      <w:r>
        <w:t>Povećanje nefinancijske imovine od 6,3% u odnosu na prethodno izvještajno razdoblje.</w:t>
      </w:r>
    </w:p>
    <w:p w14:paraId="2BF88A9A" w14:textId="77777777" w:rsidR="004156D6" w:rsidRDefault="004156D6"/>
    <w:p w14:paraId="78E9F854" w14:textId="77777777" w:rsidR="004156D6" w:rsidRDefault="00000000">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0604BF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E8AC2C"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21DEFC"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7462EE"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042832"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86B0A5"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33A9C6" w14:textId="77777777" w:rsidR="004156D6" w:rsidRDefault="00000000">
            <w:pPr>
              <w:keepNext/>
              <w:keepLines/>
              <w:spacing w:after="0" w:line="240" w:lineRule="auto"/>
              <w:jc w:val="center"/>
            </w:pPr>
            <w:r>
              <w:rPr>
                <w:b/>
                <w:sz w:val="18"/>
              </w:rPr>
              <w:t>Indeks (%)</w:t>
            </w:r>
          </w:p>
        </w:tc>
      </w:tr>
      <w:tr w:rsidR="004156D6" w14:paraId="1BE4B1EC" w14:textId="77777777">
        <w:tblPrEx>
          <w:tblCellMar>
            <w:top w:w="0" w:type="dxa"/>
            <w:bottom w:w="0" w:type="dxa"/>
          </w:tblCellMar>
        </w:tblPrEx>
        <w:trPr>
          <w:cantSplit/>
          <w:trHeight w:val="560"/>
        </w:trPr>
        <w:tc>
          <w:tcPr>
            <w:tcW w:w="700" w:type="dxa"/>
            <w:tcMar>
              <w:top w:w="0" w:type="dxa"/>
              <w:bottom w:w="0" w:type="dxa"/>
            </w:tcMar>
            <w:vAlign w:val="center"/>
          </w:tcPr>
          <w:p w14:paraId="7F432336" w14:textId="77777777" w:rsidR="004156D6" w:rsidRDefault="00000000">
            <w:pPr>
              <w:keepNext/>
              <w:keepLines/>
              <w:spacing w:after="0" w:line="240" w:lineRule="auto"/>
            </w:pPr>
            <w:r>
              <w:rPr>
                <w:sz w:val="18"/>
              </w:rPr>
              <w:t>05</w:t>
            </w:r>
          </w:p>
        </w:tc>
        <w:tc>
          <w:tcPr>
            <w:tcW w:w="3180" w:type="dxa"/>
            <w:tcMar>
              <w:top w:w="0" w:type="dxa"/>
              <w:bottom w:w="0" w:type="dxa"/>
            </w:tcMar>
            <w:vAlign w:val="center"/>
          </w:tcPr>
          <w:p w14:paraId="4DAAB917" w14:textId="77777777" w:rsidR="004156D6" w:rsidRDefault="0000000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298B858B" w14:textId="77777777" w:rsidR="004156D6" w:rsidRDefault="00000000">
            <w:pPr>
              <w:keepNext/>
              <w:keepLines/>
              <w:spacing w:after="0" w:line="240" w:lineRule="auto"/>
            </w:pPr>
            <w:r>
              <w:rPr>
                <w:sz w:val="18"/>
              </w:rPr>
              <w:t>05</w:t>
            </w:r>
          </w:p>
        </w:tc>
        <w:tc>
          <w:tcPr>
            <w:tcW w:w="1860" w:type="dxa"/>
            <w:tcMar>
              <w:top w:w="0" w:type="dxa"/>
              <w:bottom w:w="0" w:type="dxa"/>
            </w:tcMar>
            <w:vAlign w:val="center"/>
          </w:tcPr>
          <w:p w14:paraId="688EE555" w14:textId="77777777" w:rsidR="004156D6" w:rsidRDefault="00000000">
            <w:pPr>
              <w:keepNext/>
              <w:keepLines/>
              <w:spacing w:after="0" w:line="240" w:lineRule="auto"/>
              <w:jc w:val="right"/>
            </w:pPr>
            <w:r>
              <w:rPr>
                <w:sz w:val="18"/>
              </w:rPr>
              <w:t>508.183,35</w:t>
            </w:r>
          </w:p>
        </w:tc>
        <w:tc>
          <w:tcPr>
            <w:tcW w:w="1860" w:type="dxa"/>
            <w:tcMar>
              <w:top w:w="0" w:type="dxa"/>
              <w:bottom w:w="0" w:type="dxa"/>
            </w:tcMar>
            <w:vAlign w:val="center"/>
          </w:tcPr>
          <w:p w14:paraId="4D00E4CA" w14:textId="77777777" w:rsidR="004156D6" w:rsidRDefault="00000000">
            <w:pPr>
              <w:keepNext/>
              <w:keepLines/>
              <w:spacing w:after="0" w:line="240" w:lineRule="auto"/>
              <w:jc w:val="right"/>
            </w:pPr>
            <w:r>
              <w:rPr>
                <w:sz w:val="18"/>
              </w:rPr>
              <w:t>927.101,41</w:t>
            </w:r>
          </w:p>
        </w:tc>
        <w:tc>
          <w:tcPr>
            <w:tcW w:w="700" w:type="dxa"/>
            <w:tcMar>
              <w:top w:w="0" w:type="dxa"/>
              <w:bottom w:w="0" w:type="dxa"/>
            </w:tcMar>
            <w:vAlign w:val="center"/>
          </w:tcPr>
          <w:p w14:paraId="3655FD57" w14:textId="77777777" w:rsidR="004156D6" w:rsidRDefault="00000000">
            <w:pPr>
              <w:keepNext/>
              <w:keepLines/>
              <w:spacing w:after="0" w:line="240" w:lineRule="auto"/>
              <w:jc w:val="right"/>
            </w:pPr>
            <w:r>
              <w:rPr>
                <w:sz w:val="18"/>
              </w:rPr>
              <w:t>182,4</w:t>
            </w:r>
          </w:p>
        </w:tc>
      </w:tr>
    </w:tbl>
    <w:p w14:paraId="2F8A70DE" w14:textId="77777777" w:rsidR="004156D6" w:rsidRDefault="004156D6">
      <w:pPr>
        <w:spacing w:after="0"/>
      </w:pPr>
    </w:p>
    <w:p w14:paraId="6D18CF16" w14:textId="77777777" w:rsidR="004156D6" w:rsidRDefault="00000000">
      <w:r>
        <w:t>Povećanje stavke od 82,4% odnosi se na dodatna ulaganja u opremu za Stalni postav te na dodatna ulaganja u građevinske objekte kroz energetsku obnovu Muzeja. Navedena imovina se vodi kao imovina u pripremi jer još nije u upotrebi.</w:t>
      </w:r>
    </w:p>
    <w:p w14:paraId="6BCD620C" w14:textId="77777777" w:rsidR="004156D6" w:rsidRDefault="00000000">
      <w:r>
        <w:t> </w:t>
      </w:r>
    </w:p>
    <w:p w14:paraId="4137454B" w14:textId="77777777" w:rsidR="004156D6" w:rsidRDefault="004156D6"/>
    <w:p w14:paraId="006A2D7C" w14:textId="77777777" w:rsidR="004156D6"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247BD2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5F9C5B"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FE0C46"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29CE20"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D58368"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1F0831"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8A30B7" w14:textId="77777777" w:rsidR="004156D6" w:rsidRDefault="00000000">
            <w:pPr>
              <w:keepNext/>
              <w:keepLines/>
              <w:spacing w:after="0" w:line="240" w:lineRule="auto"/>
              <w:jc w:val="center"/>
            </w:pPr>
            <w:r>
              <w:rPr>
                <w:b/>
                <w:sz w:val="18"/>
              </w:rPr>
              <w:t>Indeks (%)</w:t>
            </w:r>
          </w:p>
        </w:tc>
      </w:tr>
      <w:tr w:rsidR="004156D6" w14:paraId="0F5F6B39" w14:textId="77777777">
        <w:tblPrEx>
          <w:tblCellMar>
            <w:top w:w="0" w:type="dxa"/>
            <w:bottom w:w="0" w:type="dxa"/>
          </w:tblCellMar>
        </w:tblPrEx>
        <w:trPr>
          <w:cantSplit/>
          <w:trHeight w:val="560"/>
        </w:trPr>
        <w:tc>
          <w:tcPr>
            <w:tcW w:w="700" w:type="dxa"/>
            <w:tcMar>
              <w:top w:w="0" w:type="dxa"/>
              <w:bottom w:w="0" w:type="dxa"/>
            </w:tcMar>
            <w:vAlign w:val="center"/>
          </w:tcPr>
          <w:p w14:paraId="3D4708D6" w14:textId="77777777" w:rsidR="004156D6" w:rsidRDefault="00000000">
            <w:pPr>
              <w:keepNext/>
              <w:keepLines/>
              <w:spacing w:after="0" w:line="240" w:lineRule="auto"/>
            </w:pPr>
            <w:r>
              <w:rPr>
                <w:sz w:val="18"/>
              </w:rPr>
              <w:t>1</w:t>
            </w:r>
          </w:p>
        </w:tc>
        <w:tc>
          <w:tcPr>
            <w:tcW w:w="3180" w:type="dxa"/>
            <w:tcMar>
              <w:top w:w="0" w:type="dxa"/>
              <w:bottom w:w="0" w:type="dxa"/>
            </w:tcMar>
            <w:vAlign w:val="center"/>
          </w:tcPr>
          <w:p w14:paraId="692AC425" w14:textId="77777777" w:rsidR="004156D6"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28B3A772" w14:textId="77777777" w:rsidR="004156D6" w:rsidRDefault="00000000">
            <w:pPr>
              <w:keepNext/>
              <w:keepLines/>
              <w:spacing w:after="0" w:line="240" w:lineRule="auto"/>
            </w:pPr>
            <w:r>
              <w:rPr>
                <w:sz w:val="18"/>
              </w:rPr>
              <w:t>1</w:t>
            </w:r>
          </w:p>
        </w:tc>
        <w:tc>
          <w:tcPr>
            <w:tcW w:w="1860" w:type="dxa"/>
            <w:tcMar>
              <w:top w:w="0" w:type="dxa"/>
              <w:bottom w:w="0" w:type="dxa"/>
            </w:tcMar>
            <w:vAlign w:val="center"/>
          </w:tcPr>
          <w:p w14:paraId="0F2B7864" w14:textId="77777777" w:rsidR="004156D6" w:rsidRDefault="00000000">
            <w:pPr>
              <w:keepNext/>
              <w:keepLines/>
              <w:spacing w:after="0" w:line="240" w:lineRule="auto"/>
              <w:jc w:val="right"/>
            </w:pPr>
            <w:r>
              <w:rPr>
                <w:sz w:val="18"/>
              </w:rPr>
              <w:t>10.952,52</w:t>
            </w:r>
          </w:p>
        </w:tc>
        <w:tc>
          <w:tcPr>
            <w:tcW w:w="1860" w:type="dxa"/>
            <w:tcMar>
              <w:top w:w="0" w:type="dxa"/>
              <w:bottom w:w="0" w:type="dxa"/>
            </w:tcMar>
            <w:vAlign w:val="center"/>
          </w:tcPr>
          <w:p w14:paraId="11B63BBE" w14:textId="77777777" w:rsidR="004156D6" w:rsidRDefault="00000000">
            <w:pPr>
              <w:keepNext/>
              <w:keepLines/>
              <w:spacing w:after="0" w:line="240" w:lineRule="auto"/>
              <w:jc w:val="right"/>
            </w:pPr>
            <w:r>
              <w:rPr>
                <w:sz w:val="18"/>
              </w:rPr>
              <w:t>78.228,90</w:t>
            </w:r>
          </w:p>
        </w:tc>
        <w:tc>
          <w:tcPr>
            <w:tcW w:w="700" w:type="dxa"/>
            <w:tcMar>
              <w:top w:w="0" w:type="dxa"/>
              <w:bottom w:w="0" w:type="dxa"/>
            </w:tcMar>
            <w:vAlign w:val="center"/>
          </w:tcPr>
          <w:p w14:paraId="171EB055" w14:textId="77777777" w:rsidR="004156D6" w:rsidRDefault="00000000">
            <w:pPr>
              <w:keepNext/>
              <w:keepLines/>
              <w:spacing w:after="0" w:line="240" w:lineRule="auto"/>
              <w:jc w:val="right"/>
            </w:pPr>
            <w:r>
              <w:rPr>
                <w:sz w:val="18"/>
              </w:rPr>
              <w:t>714,3</w:t>
            </w:r>
          </w:p>
        </w:tc>
      </w:tr>
    </w:tbl>
    <w:p w14:paraId="5AA121FA" w14:textId="77777777" w:rsidR="004156D6" w:rsidRDefault="004156D6">
      <w:pPr>
        <w:spacing w:after="0"/>
      </w:pPr>
    </w:p>
    <w:p w14:paraId="72A15D77" w14:textId="77777777" w:rsidR="004156D6" w:rsidRDefault="00000000">
      <w:r>
        <w:t>Povećanje od 614,3% u odnosu na prethodno izvještajno razdoblje, odnosi se na potraživanja proračunskih korisnika za sredstva uplaćena u nadležni proračun i to najvećim dijelom za sredstva odobrenog i uplaćenog predujma po projektu Energetska obnova Muzeja grada Šibenika te u manjem iznosu potraživanja za prihode od prodanih proizvoda.</w:t>
      </w:r>
    </w:p>
    <w:p w14:paraId="338BA2C8" w14:textId="77777777" w:rsidR="004156D6" w:rsidRDefault="004156D6"/>
    <w:p w14:paraId="0EF09293" w14:textId="77777777" w:rsidR="004156D6"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7C39CD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33C28E"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BBA16B"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2C6BEC"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3525B5"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F47CF4"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6A5B35" w14:textId="77777777" w:rsidR="004156D6" w:rsidRDefault="00000000">
            <w:pPr>
              <w:keepNext/>
              <w:keepLines/>
              <w:spacing w:after="0" w:line="240" w:lineRule="auto"/>
              <w:jc w:val="center"/>
            </w:pPr>
            <w:r>
              <w:rPr>
                <w:b/>
                <w:sz w:val="18"/>
              </w:rPr>
              <w:t>Indeks (%)</w:t>
            </w:r>
          </w:p>
        </w:tc>
      </w:tr>
      <w:tr w:rsidR="004156D6" w14:paraId="040F5406" w14:textId="77777777">
        <w:tblPrEx>
          <w:tblCellMar>
            <w:top w:w="0" w:type="dxa"/>
            <w:bottom w:w="0" w:type="dxa"/>
          </w:tblCellMar>
        </w:tblPrEx>
        <w:trPr>
          <w:cantSplit/>
          <w:trHeight w:val="560"/>
        </w:trPr>
        <w:tc>
          <w:tcPr>
            <w:tcW w:w="700" w:type="dxa"/>
            <w:tcMar>
              <w:top w:w="0" w:type="dxa"/>
              <w:bottom w:w="0" w:type="dxa"/>
            </w:tcMar>
            <w:vAlign w:val="center"/>
          </w:tcPr>
          <w:p w14:paraId="508AD23F" w14:textId="77777777" w:rsidR="004156D6" w:rsidRDefault="00000000">
            <w:pPr>
              <w:keepNext/>
              <w:keepLines/>
              <w:spacing w:after="0" w:line="240" w:lineRule="auto"/>
            </w:pPr>
            <w:r>
              <w:rPr>
                <w:sz w:val="18"/>
              </w:rPr>
              <w:t>129</w:t>
            </w:r>
          </w:p>
        </w:tc>
        <w:tc>
          <w:tcPr>
            <w:tcW w:w="3180" w:type="dxa"/>
            <w:tcMar>
              <w:top w:w="0" w:type="dxa"/>
              <w:bottom w:w="0" w:type="dxa"/>
            </w:tcMar>
            <w:vAlign w:val="center"/>
          </w:tcPr>
          <w:p w14:paraId="78B09A44" w14:textId="77777777" w:rsidR="004156D6" w:rsidRDefault="00000000">
            <w:pPr>
              <w:keepNext/>
              <w:keepLines/>
              <w:spacing w:after="0" w:line="240" w:lineRule="auto"/>
            </w:pPr>
            <w:r>
              <w:rPr>
                <w:sz w:val="18"/>
              </w:rPr>
              <w:t>Ostala potraživanja</w:t>
            </w:r>
          </w:p>
        </w:tc>
        <w:tc>
          <w:tcPr>
            <w:tcW w:w="700" w:type="dxa"/>
            <w:tcMar>
              <w:top w:w="0" w:type="dxa"/>
              <w:bottom w:w="0" w:type="dxa"/>
            </w:tcMar>
            <w:vAlign w:val="center"/>
          </w:tcPr>
          <w:p w14:paraId="2A1B2BAC" w14:textId="77777777" w:rsidR="004156D6" w:rsidRDefault="00000000">
            <w:pPr>
              <w:keepNext/>
              <w:keepLines/>
              <w:spacing w:after="0" w:line="240" w:lineRule="auto"/>
            </w:pPr>
            <w:r>
              <w:rPr>
                <w:sz w:val="18"/>
              </w:rPr>
              <w:t>129</w:t>
            </w:r>
          </w:p>
        </w:tc>
        <w:tc>
          <w:tcPr>
            <w:tcW w:w="1860" w:type="dxa"/>
            <w:tcMar>
              <w:top w:w="0" w:type="dxa"/>
              <w:bottom w:w="0" w:type="dxa"/>
            </w:tcMar>
            <w:vAlign w:val="center"/>
          </w:tcPr>
          <w:p w14:paraId="6F6740D2" w14:textId="77777777" w:rsidR="004156D6" w:rsidRDefault="00000000">
            <w:pPr>
              <w:keepNext/>
              <w:keepLines/>
              <w:spacing w:after="0" w:line="240" w:lineRule="auto"/>
              <w:jc w:val="right"/>
            </w:pPr>
            <w:r>
              <w:rPr>
                <w:sz w:val="18"/>
              </w:rPr>
              <w:t>108,68</w:t>
            </w:r>
          </w:p>
        </w:tc>
        <w:tc>
          <w:tcPr>
            <w:tcW w:w="1860" w:type="dxa"/>
            <w:tcMar>
              <w:top w:w="0" w:type="dxa"/>
              <w:bottom w:w="0" w:type="dxa"/>
            </w:tcMar>
            <w:vAlign w:val="center"/>
          </w:tcPr>
          <w:p w14:paraId="672EA23C" w14:textId="77777777" w:rsidR="004156D6" w:rsidRDefault="00000000">
            <w:pPr>
              <w:keepNext/>
              <w:keepLines/>
              <w:spacing w:after="0" w:line="240" w:lineRule="auto"/>
              <w:jc w:val="right"/>
            </w:pPr>
            <w:r>
              <w:rPr>
                <w:sz w:val="18"/>
              </w:rPr>
              <w:t>64,92</w:t>
            </w:r>
          </w:p>
        </w:tc>
        <w:tc>
          <w:tcPr>
            <w:tcW w:w="700" w:type="dxa"/>
            <w:tcMar>
              <w:top w:w="0" w:type="dxa"/>
              <w:bottom w:w="0" w:type="dxa"/>
            </w:tcMar>
            <w:vAlign w:val="center"/>
          </w:tcPr>
          <w:p w14:paraId="0312D202" w14:textId="77777777" w:rsidR="004156D6" w:rsidRDefault="00000000">
            <w:pPr>
              <w:keepNext/>
              <w:keepLines/>
              <w:spacing w:after="0" w:line="240" w:lineRule="auto"/>
              <w:jc w:val="right"/>
            </w:pPr>
            <w:r>
              <w:rPr>
                <w:sz w:val="18"/>
              </w:rPr>
              <w:t>59,7</w:t>
            </w:r>
          </w:p>
        </w:tc>
      </w:tr>
    </w:tbl>
    <w:p w14:paraId="5B170D9F" w14:textId="77777777" w:rsidR="004156D6" w:rsidRDefault="004156D6">
      <w:pPr>
        <w:spacing w:after="0"/>
      </w:pPr>
    </w:p>
    <w:p w14:paraId="1E727A60" w14:textId="77777777" w:rsidR="004156D6" w:rsidRDefault="00000000">
      <w:r>
        <w:t xml:space="preserve">Smanjenje stavke za 40,3% u odnosu na prethodno izvještajno razdoblje odnosi se na smanjena potraživanja za naknade koje se refundiraju, a odnose se na </w:t>
      </w:r>
      <w:proofErr w:type="spellStart"/>
      <w:r>
        <w:t>nakanade</w:t>
      </w:r>
      <w:proofErr w:type="spellEnd"/>
      <w:r>
        <w:t xml:space="preserve"> za bolovanje preko HZZO-a.</w:t>
      </w:r>
    </w:p>
    <w:p w14:paraId="28CD7577" w14:textId="77777777" w:rsidR="004156D6" w:rsidRDefault="004156D6"/>
    <w:p w14:paraId="6D201FBC" w14:textId="77777777" w:rsidR="004156D6"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3C106B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6E5068"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0F68D8"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35EFC0"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3B64F4"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9CB411"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CB4B854" w14:textId="77777777" w:rsidR="004156D6" w:rsidRDefault="00000000">
            <w:pPr>
              <w:keepNext/>
              <w:keepLines/>
              <w:spacing w:after="0" w:line="240" w:lineRule="auto"/>
              <w:jc w:val="center"/>
            </w:pPr>
            <w:r>
              <w:rPr>
                <w:b/>
                <w:sz w:val="18"/>
              </w:rPr>
              <w:t>Indeks (%)</w:t>
            </w:r>
          </w:p>
        </w:tc>
      </w:tr>
      <w:tr w:rsidR="004156D6" w14:paraId="1E1AD91D" w14:textId="77777777">
        <w:tblPrEx>
          <w:tblCellMar>
            <w:top w:w="0" w:type="dxa"/>
            <w:bottom w:w="0" w:type="dxa"/>
          </w:tblCellMar>
        </w:tblPrEx>
        <w:trPr>
          <w:cantSplit/>
          <w:trHeight w:val="560"/>
        </w:trPr>
        <w:tc>
          <w:tcPr>
            <w:tcW w:w="700" w:type="dxa"/>
            <w:tcMar>
              <w:top w:w="0" w:type="dxa"/>
              <w:bottom w:w="0" w:type="dxa"/>
            </w:tcMar>
            <w:vAlign w:val="center"/>
          </w:tcPr>
          <w:p w14:paraId="5CFE7FF7" w14:textId="77777777" w:rsidR="004156D6" w:rsidRDefault="00000000">
            <w:pPr>
              <w:keepNext/>
              <w:keepLines/>
              <w:spacing w:after="0" w:line="240" w:lineRule="auto"/>
            </w:pPr>
            <w:r>
              <w:rPr>
                <w:sz w:val="18"/>
              </w:rPr>
              <w:t>16</w:t>
            </w:r>
          </w:p>
        </w:tc>
        <w:tc>
          <w:tcPr>
            <w:tcW w:w="3180" w:type="dxa"/>
            <w:tcMar>
              <w:top w:w="0" w:type="dxa"/>
              <w:bottom w:w="0" w:type="dxa"/>
            </w:tcMar>
            <w:vAlign w:val="center"/>
          </w:tcPr>
          <w:p w14:paraId="2A801D92" w14:textId="77777777" w:rsidR="004156D6"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0FFB20AA" w14:textId="77777777" w:rsidR="004156D6" w:rsidRDefault="00000000">
            <w:pPr>
              <w:keepNext/>
              <w:keepLines/>
              <w:spacing w:after="0" w:line="240" w:lineRule="auto"/>
            </w:pPr>
            <w:r>
              <w:rPr>
                <w:sz w:val="18"/>
              </w:rPr>
              <w:t>16</w:t>
            </w:r>
          </w:p>
        </w:tc>
        <w:tc>
          <w:tcPr>
            <w:tcW w:w="1860" w:type="dxa"/>
            <w:tcMar>
              <w:top w:w="0" w:type="dxa"/>
              <w:bottom w:w="0" w:type="dxa"/>
            </w:tcMar>
            <w:vAlign w:val="center"/>
          </w:tcPr>
          <w:p w14:paraId="3020DD32" w14:textId="77777777" w:rsidR="004156D6" w:rsidRDefault="00000000">
            <w:pPr>
              <w:keepNext/>
              <w:keepLines/>
              <w:spacing w:after="0" w:line="240" w:lineRule="auto"/>
              <w:jc w:val="right"/>
            </w:pPr>
            <w:r>
              <w:rPr>
                <w:sz w:val="18"/>
              </w:rPr>
              <w:t>10.843,84</w:t>
            </w:r>
          </w:p>
        </w:tc>
        <w:tc>
          <w:tcPr>
            <w:tcW w:w="1860" w:type="dxa"/>
            <w:tcMar>
              <w:top w:w="0" w:type="dxa"/>
              <w:bottom w:w="0" w:type="dxa"/>
            </w:tcMar>
            <w:vAlign w:val="center"/>
          </w:tcPr>
          <w:p w14:paraId="77D28CEB" w14:textId="77777777" w:rsidR="004156D6" w:rsidRDefault="00000000">
            <w:pPr>
              <w:keepNext/>
              <w:keepLines/>
              <w:spacing w:after="0" w:line="240" w:lineRule="auto"/>
              <w:jc w:val="right"/>
            </w:pPr>
            <w:r>
              <w:rPr>
                <w:sz w:val="18"/>
              </w:rPr>
              <w:t>78.163,98</w:t>
            </w:r>
          </w:p>
        </w:tc>
        <w:tc>
          <w:tcPr>
            <w:tcW w:w="700" w:type="dxa"/>
            <w:tcMar>
              <w:top w:w="0" w:type="dxa"/>
              <w:bottom w:w="0" w:type="dxa"/>
            </w:tcMar>
            <w:vAlign w:val="center"/>
          </w:tcPr>
          <w:p w14:paraId="637517B1" w14:textId="77777777" w:rsidR="004156D6" w:rsidRDefault="00000000">
            <w:pPr>
              <w:keepNext/>
              <w:keepLines/>
              <w:spacing w:after="0" w:line="240" w:lineRule="auto"/>
              <w:jc w:val="right"/>
            </w:pPr>
            <w:r>
              <w:rPr>
                <w:sz w:val="18"/>
              </w:rPr>
              <w:t>720,8</w:t>
            </w:r>
          </w:p>
        </w:tc>
      </w:tr>
    </w:tbl>
    <w:p w14:paraId="0707F206" w14:textId="77777777" w:rsidR="004156D6" w:rsidRDefault="004156D6">
      <w:pPr>
        <w:spacing w:after="0"/>
      </w:pPr>
    </w:p>
    <w:p w14:paraId="56DC8467" w14:textId="77777777" w:rsidR="004156D6" w:rsidRDefault="00000000">
      <w:r>
        <w:lastRenderedPageBreak/>
        <w:t>Povećanje potraživanja za prihode poslovanja od 620,8% odnosi se na potraživanja proračunskih korisnika za sredstva uplaćena u nadležni proračun i to najvećim dijelom za sredstva odobrenog i uplaćenog predujma po projektu Energetska obnova Muzeja grada Šibenika te u manjem iznosu potraživanja za prihode od prodanih proizvoda.</w:t>
      </w:r>
    </w:p>
    <w:p w14:paraId="64D05468" w14:textId="77777777" w:rsidR="004156D6" w:rsidRDefault="004156D6"/>
    <w:p w14:paraId="274316B0" w14:textId="77777777" w:rsidR="004156D6"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3AC45A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CA2FE8"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9CCC8C"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5FD49A"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6BE532"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44936B"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D84B0F" w14:textId="77777777" w:rsidR="004156D6" w:rsidRDefault="00000000">
            <w:pPr>
              <w:keepNext/>
              <w:keepLines/>
              <w:spacing w:after="0" w:line="240" w:lineRule="auto"/>
              <w:jc w:val="center"/>
            </w:pPr>
            <w:r>
              <w:rPr>
                <w:b/>
                <w:sz w:val="18"/>
              </w:rPr>
              <w:t>Indeks (%)</w:t>
            </w:r>
          </w:p>
        </w:tc>
      </w:tr>
      <w:tr w:rsidR="004156D6" w14:paraId="4313B831" w14:textId="77777777">
        <w:tblPrEx>
          <w:tblCellMar>
            <w:top w:w="0" w:type="dxa"/>
            <w:bottom w:w="0" w:type="dxa"/>
          </w:tblCellMar>
        </w:tblPrEx>
        <w:trPr>
          <w:cantSplit/>
          <w:trHeight w:val="560"/>
        </w:trPr>
        <w:tc>
          <w:tcPr>
            <w:tcW w:w="700" w:type="dxa"/>
            <w:tcMar>
              <w:top w:w="0" w:type="dxa"/>
              <w:bottom w:w="0" w:type="dxa"/>
            </w:tcMar>
            <w:vAlign w:val="center"/>
          </w:tcPr>
          <w:p w14:paraId="19CF3CCF" w14:textId="77777777" w:rsidR="004156D6" w:rsidRDefault="00000000">
            <w:pPr>
              <w:keepNext/>
              <w:keepLines/>
              <w:spacing w:after="0" w:line="240" w:lineRule="auto"/>
            </w:pPr>
            <w:r>
              <w:rPr>
                <w:sz w:val="18"/>
              </w:rPr>
              <w:t>166</w:t>
            </w:r>
          </w:p>
        </w:tc>
        <w:tc>
          <w:tcPr>
            <w:tcW w:w="3180" w:type="dxa"/>
            <w:tcMar>
              <w:top w:w="0" w:type="dxa"/>
              <w:bottom w:w="0" w:type="dxa"/>
            </w:tcMar>
            <w:vAlign w:val="center"/>
          </w:tcPr>
          <w:p w14:paraId="3E5C7FCE" w14:textId="77777777" w:rsidR="004156D6"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7D9FDAEC" w14:textId="77777777" w:rsidR="004156D6" w:rsidRDefault="00000000">
            <w:pPr>
              <w:keepNext/>
              <w:keepLines/>
              <w:spacing w:after="0" w:line="240" w:lineRule="auto"/>
            </w:pPr>
            <w:r>
              <w:rPr>
                <w:sz w:val="18"/>
              </w:rPr>
              <w:t>166</w:t>
            </w:r>
          </w:p>
        </w:tc>
        <w:tc>
          <w:tcPr>
            <w:tcW w:w="1860" w:type="dxa"/>
            <w:tcMar>
              <w:top w:w="0" w:type="dxa"/>
              <w:bottom w:w="0" w:type="dxa"/>
            </w:tcMar>
            <w:vAlign w:val="center"/>
          </w:tcPr>
          <w:p w14:paraId="789E8ECF" w14:textId="77777777" w:rsidR="004156D6" w:rsidRDefault="00000000">
            <w:pPr>
              <w:keepNext/>
              <w:keepLines/>
              <w:spacing w:after="0" w:line="240" w:lineRule="auto"/>
              <w:jc w:val="right"/>
            </w:pPr>
            <w:r>
              <w:rPr>
                <w:sz w:val="18"/>
              </w:rPr>
              <w:t>5.291,99</w:t>
            </w:r>
          </w:p>
        </w:tc>
        <w:tc>
          <w:tcPr>
            <w:tcW w:w="1860" w:type="dxa"/>
            <w:tcMar>
              <w:top w:w="0" w:type="dxa"/>
              <w:bottom w:w="0" w:type="dxa"/>
            </w:tcMar>
            <w:vAlign w:val="center"/>
          </w:tcPr>
          <w:p w14:paraId="75D99DCC" w14:textId="77777777" w:rsidR="004156D6" w:rsidRDefault="00000000">
            <w:pPr>
              <w:keepNext/>
              <w:keepLines/>
              <w:spacing w:after="0" w:line="240" w:lineRule="auto"/>
              <w:jc w:val="right"/>
            </w:pPr>
            <w:r>
              <w:rPr>
                <w:sz w:val="18"/>
              </w:rPr>
              <w:t>342,65</w:t>
            </w:r>
          </w:p>
        </w:tc>
        <w:tc>
          <w:tcPr>
            <w:tcW w:w="700" w:type="dxa"/>
            <w:tcMar>
              <w:top w:w="0" w:type="dxa"/>
              <w:bottom w:w="0" w:type="dxa"/>
            </w:tcMar>
            <w:vAlign w:val="center"/>
          </w:tcPr>
          <w:p w14:paraId="38878C07" w14:textId="77777777" w:rsidR="004156D6" w:rsidRDefault="00000000">
            <w:pPr>
              <w:keepNext/>
              <w:keepLines/>
              <w:spacing w:after="0" w:line="240" w:lineRule="auto"/>
              <w:jc w:val="right"/>
            </w:pPr>
            <w:r>
              <w:rPr>
                <w:sz w:val="18"/>
              </w:rPr>
              <w:t>6,5</w:t>
            </w:r>
          </w:p>
        </w:tc>
      </w:tr>
    </w:tbl>
    <w:p w14:paraId="668E0CDC" w14:textId="77777777" w:rsidR="004156D6" w:rsidRDefault="004156D6">
      <w:pPr>
        <w:spacing w:after="0"/>
      </w:pPr>
    </w:p>
    <w:p w14:paraId="729044B0" w14:textId="77777777" w:rsidR="004156D6" w:rsidRDefault="00000000">
      <w:r>
        <w:t>Veliko smanjenje od 93,5% potraživanja za prihode od prodaje proizvoda i robe te pruženih usluga u odnosu na prethodno razdoblje najvećim dijelom zbog naplate prihoda za pružene usluge zakupa poslovnog prostora.</w:t>
      </w:r>
    </w:p>
    <w:p w14:paraId="23A7FBF1" w14:textId="77777777" w:rsidR="004156D6" w:rsidRDefault="004156D6"/>
    <w:p w14:paraId="7E790485" w14:textId="77777777" w:rsidR="004156D6"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50B76E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AF5676"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948EF5"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3D3FA4"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BF737C"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BE2E19"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FB2496" w14:textId="77777777" w:rsidR="004156D6" w:rsidRDefault="00000000">
            <w:pPr>
              <w:keepNext/>
              <w:keepLines/>
              <w:spacing w:after="0" w:line="240" w:lineRule="auto"/>
              <w:jc w:val="center"/>
            </w:pPr>
            <w:r>
              <w:rPr>
                <w:b/>
                <w:sz w:val="18"/>
              </w:rPr>
              <w:t>Indeks (%)</w:t>
            </w:r>
          </w:p>
        </w:tc>
      </w:tr>
      <w:tr w:rsidR="004156D6" w14:paraId="6B4BFB8D" w14:textId="77777777">
        <w:tblPrEx>
          <w:tblCellMar>
            <w:top w:w="0" w:type="dxa"/>
            <w:bottom w:w="0" w:type="dxa"/>
          </w:tblCellMar>
        </w:tblPrEx>
        <w:trPr>
          <w:cantSplit/>
          <w:trHeight w:val="560"/>
        </w:trPr>
        <w:tc>
          <w:tcPr>
            <w:tcW w:w="700" w:type="dxa"/>
            <w:tcMar>
              <w:top w:w="0" w:type="dxa"/>
              <w:bottom w:w="0" w:type="dxa"/>
            </w:tcMar>
            <w:vAlign w:val="center"/>
          </w:tcPr>
          <w:p w14:paraId="28160BF3" w14:textId="77777777" w:rsidR="004156D6" w:rsidRDefault="00000000">
            <w:pPr>
              <w:keepNext/>
              <w:keepLines/>
              <w:spacing w:after="0" w:line="240" w:lineRule="auto"/>
            </w:pPr>
            <w:r>
              <w:rPr>
                <w:sz w:val="18"/>
              </w:rPr>
              <w:t>167</w:t>
            </w:r>
          </w:p>
        </w:tc>
        <w:tc>
          <w:tcPr>
            <w:tcW w:w="3180" w:type="dxa"/>
            <w:tcMar>
              <w:top w:w="0" w:type="dxa"/>
              <w:bottom w:w="0" w:type="dxa"/>
            </w:tcMar>
            <w:vAlign w:val="center"/>
          </w:tcPr>
          <w:p w14:paraId="70D523A5" w14:textId="77777777" w:rsidR="004156D6"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3BC55DE3" w14:textId="77777777" w:rsidR="004156D6" w:rsidRDefault="00000000">
            <w:pPr>
              <w:keepNext/>
              <w:keepLines/>
              <w:spacing w:after="0" w:line="240" w:lineRule="auto"/>
            </w:pPr>
            <w:r>
              <w:rPr>
                <w:sz w:val="18"/>
              </w:rPr>
              <w:t>167</w:t>
            </w:r>
          </w:p>
        </w:tc>
        <w:tc>
          <w:tcPr>
            <w:tcW w:w="1860" w:type="dxa"/>
            <w:tcMar>
              <w:top w:w="0" w:type="dxa"/>
              <w:bottom w:w="0" w:type="dxa"/>
            </w:tcMar>
            <w:vAlign w:val="center"/>
          </w:tcPr>
          <w:p w14:paraId="1DAFAB81" w14:textId="77777777" w:rsidR="004156D6" w:rsidRDefault="00000000">
            <w:pPr>
              <w:keepNext/>
              <w:keepLines/>
              <w:spacing w:after="0" w:line="240" w:lineRule="auto"/>
              <w:jc w:val="right"/>
            </w:pPr>
            <w:r>
              <w:rPr>
                <w:sz w:val="18"/>
              </w:rPr>
              <w:t>5.551,85</w:t>
            </w:r>
          </w:p>
        </w:tc>
        <w:tc>
          <w:tcPr>
            <w:tcW w:w="1860" w:type="dxa"/>
            <w:tcMar>
              <w:top w:w="0" w:type="dxa"/>
              <w:bottom w:w="0" w:type="dxa"/>
            </w:tcMar>
            <w:vAlign w:val="center"/>
          </w:tcPr>
          <w:p w14:paraId="775325C3" w14:textId="77777777" w:rsidR="004156D6" w:rsidRDefault="00000000">
            <w:pPr>
              <w:keepNext/>
              <w:keepLines/>
              <w:spacing w:after="0" w:line="240" w:lineRule="auto"/>
              <w:jc w:val="right"/>
            </w:pPr>
            <w:r>
              <w:rPr>
                <w:sz w:val="18"/>
              </w:rPr>
              <w:t>77.821,33</w:t>
            </w:r>
          </w:p>
        </w:tc>
        <w:tc>
          <w:tcPr>
            <w:tcW w:w="700" w:type="dxa"/>
            <w:tcMar>
              <w:top w:w="0" w:type="dxa"/>
              <w:bottom w:w="0" w:type="dxa"/>
            </w:tcMar>
            <w:vAlign w:val="center"/>
          </w:tcPr>
          <w:p w14:paraId="4BDCA8FE" w14:textId="77777777" w:rsidR="004156D6" w:rsidRDefault="00000000">
            <w:pPr>
              <w:keepNext/>
              <w:keepLines/>
              <w:spacing w:after="0" w:line="240" w:lineRule="auto"/>
              <w:jc w:val="right"/>
            </w:pPr>
            <w:r>
              <w:rPr>
                <w:sz w:val="18"/>
              </w:rPr>
              <w:t>1401,7</w:t>
            </w:r>
          </w:p>
        </w:tc>
      </w:tr>
    </w:tbl>
    <w:p w14:paraId="5CFE43E9" w14:textId="77777777" w:rsidR="004156D6" w:rsidRDefault="004156D6">
      <w:pPr>
        <w:spacing w:after="0"/>
      </w:pPr>
    </w:p>
    <w:p w14:paraId="21802CDE" w14:textId="77777777" w:rsidR="004156D6" w:rsidRDefault="00000000">
      <w:r>
        <w:t>Povećanje od 1.301,7% u odnosu na prethodno izvještajno razdoblje odnosi se najvećim dijelom za sredstva odobrenog i uplaćenog predujma po projektu Energetska obnova Muzeja grada Šibenika te u manjem iznosu potraživanja za prihode od prodanih proizvoda.</w:t>
      </w:r>
    </w:p>
    <w:p w14:paraId="4D4617B7" w14:textId="77777777" w:rsidR="004156D6" w:rsidRDefault="004156D6"/>
    <w:p w14:paraId="1508A3DF" w14:textId="77777777" w:rsidR="004156D6"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0082AE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835411"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3CD08A"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191919"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E49B31"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2268BD"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18EE81" w14:textId="77777777" w:rsidR="004156D6" w:rsidRDefault="00000000">
            <w:pPr>
              <w:keepNext/>
              <w:keepLines/>
              <w:spacing w:after="0" w:line="240" w:lineRule="auto"/>
              <w:jc w:val="center"/>
            </w:pPr>
            <w:r>
              <w:rPr>
                <w:b/>
                <w:sz w:val="18"/>
              </w:rPr>
              <w:t>Indeks (%)</w:t>
            </w:r>
          </w:p>
        </w:tc>
      </w:tr>
      <w:tr w:rsidR="004156D6" w14:paraId="0ECEA74C" w14:textId="77777777">
        <w:tblPrEx>
          <w:tblCellMar>
            <w:top w:w="0" w:type="dxa"/>
            <w:bottom w:w="0" w:type="dxa"/>
          </w:tblCellMar>
        </w:tblPrEx>
        <w:trPr>
          <w:cantSplit/>
          <w:trHeight w:val="560"/>
        </w:trPr>
        <w:tc>
          <w:tcPr>
            <w:tcW w:w="700" w:type="dxa"/>
            <w:tcMar>
              <w:top w:w="0" w:type="dxa"/>
              <w:bottom w:w="0" w:type="dxa"/>
            </w:tcMar>
            <w:vAlign w:val="center"/>
          </w:tcPr>
          <w:p w14:paraId="306DEE1F" w14:textId="77777777" w:rsidR="004156D6" w:rsidRDefault="00000000">
            <w:pPr>
              <w:keepNext/>
              <w:keepLines/>
              <w:spacing w:after="0" w:line="240" w:lineRule="auto"/>
            </w:pPr>
            <w:r>
              <w:rPr>
                <w:sz w:val="18"/>
              </w:rPr>
              <w:t>2</w:t>
            </w:r>
          </w:p>
        </w:tc>
        <w:tc>
          <w:tcPr>
            <w:tcW w:w="3180" w:type="dxa"/>
            <w:tcMar>
              <w:top w:w="0" w:type="dxa"/>
              <w:bottom w:w="0" w:type="dxa"/>
            </w:tcMar>
            <w:vAlign w:val="center"/>
          </w:tcPr>
          <w:p w14:paraId="0454F1E2" w14:textId="77777777" w:rsidR="004156D6" w:rsidRDefault="00000000">
            <w:pPr>
              <w:keepNext/>
              <w:keepLines/>
              <w:spacing w:after="0" w:line="240" w:lineRule="auto"/>
            </w:pPr>
            <w:r>
              <w:rPr>
                <w:sz w:val="18"/>
              </w:rPr>
              <w:t>Obveze (šifre 23+24+25+26+27+29)</w:t>
            </w:r>
          </w:p>
        </w:tc>
        <w:tc>
          <w:tcPr>
            <w:tcW w:w="700" w:type="dxa"/>
            <w:tcMar>
              <w:top w:w="0" w:type="dxa"/>
              <w:bottom w:w="0" w:type="dxa"/>
            </w:tcMar>
            <w:vAlign w:val="center"/>
          </w:tcPr>
          <w:p w14:paraId="49D0292E" w14:textId="77777777" w:rsidR="004156D6" w:rsidRDefault="00000000">
            <w:pPr>
              <w:keepNext/>
              <w:keepLines/>
              <w:spacing w:after="0" w:line="240" w:lineRule="auto"/>
            </w:pPr>
            <w:r>
              <w:rPr>
                <w:sz w:val="18"/>
              </w:rPr>
              <w:t>2</w:t>
            </w:r>
          </w:p>
        </w:tc>
        <w:tc>
          <w:tcPr>
            <w:tcW w:w="1860" w:type="dxa"/>
            <w:tcMar>
              <w:top w:w="0" w:type="dxa"/>
              <w:bottom w:w="0" w:type="dxa"/>
            </w:tcMar>
            <w:vAlign w:val="center"/>
          </w:tcPr>
          <w:p w14:paraId="51C8A323" w14:textId="77777777" w:rsidR="004156D6" w:rsidRDefault="00000000">
            <w:pPr>
              <w:keepNext/>
              <w:keepLines/>
              <w:spacing w:after="0" w:line="240" w:lineRule="auto"/>
              <w:jc w:val="right"/>
            </w:pPr>
            <w:r>
              <w:rPr>
                <w:sz w:val="18"/>
              </w:rPr>
              <w:t>64.734,85</w:t>
            </w:r>
          </w:p>
        </w:tc>
        <w:tc>
          <w:tcPr>
            <w:tcW w:w="1860" w:type="dxa"/>
            <w:tcMar>
              <w:top w:w="0" w:type="dxa"/>
              <w:bottom w:w="0" w:type="dxa"/>
            </w:tcMar>
            <w:vAlign w:val="center"/>
          </w:tcPr>
          <w:p w14:paraId="19275A92" w14:textId="77777777" w:rsidR="004156D6" w:rsidRDefault="00000000">
            <w:pPr>
              <w:keepNext/>
              <w:keepLines/>
              <w:spacing w:after="0" w:line="240" w:lineRule="auto"/>
              <w:jc w:val="right"/>
            </w:pPr>
            <w:r>
              <w:rPr>
                <w:sz w:val="18"/>
              </w:rPr>
              <w:t>346.084,97</w:t>
            </w:r>
          </w:p>
        </w:tc>
        <w:tc>
          <w:tcPr>
            <w:tcW w:w="700" w:type="dxa"/>
            <w:tcMar>
              <w:top w:w="0" w:type="dxa"/>
              <w:bottom w:w="0" w:type="dxa"/>
            </w:tcMar>
            <w:vAlign w:val="center"/>
          </w:tcPr>
          <w:p w14:paraId="15CA5940" w14:textId="77777777" w:rsidR="004156D6" w:rsidRDefault="00000000">
            <w:pPr>
              <w:keepNext/>
              <w:keepLines/>
              <w:spacing w:after="0" w:line="240" w:lineRule="auto"/>
              <w:jc w:val="right"/>
            </w:pPr>
            <w:r>
              <w:rPr>
                <w:sz w:val="18"/>
              </w:rPr>
              <w:t>534,6</w:t>
            </w:r>
          </w:p>
        </w:tc>
      </w:tr>
    </w:tbl>
    <w:p w14:paraId="28F4C72F" w14:textId="77777777" w:rsidR="004156D6" w:rsidRDefault="004156D6">
      <w:pPr>
        <w:spacing w:after="0"/>
      </w:pPr>
    </w:p>
    <w:p w14:paraId="518A0EDE" w14:textId="77777777" w:rsidR="004156D6" w:rsidRDefault="00000000">
      <w:r>
        <w:t xml:space="preserve">Obveze su veće za 434,6% u odnosu na izvještajno razdoblje prethodne godine. Najveće povećanje bilježe obveze za materijalne rashode, obveze za nabavu nefinancijske imovine te obveze za predujmove, depozite i </w:t>
      </w:r>
      <w:proofErr w:type="spellStart"/>
      <w:r>
        <w:t>jamčevne</w:t>
      </w:r>
      <w:proofErr w:type="spellEnd"/>
      <w:r>
        <w:t xml:space="preserve"> </w:t>
      </w:r>
      <w:proofErr w:type="spellStart"/>
      <w:r>
        <w:t>pologe</w:t>
      </w:r>
      <w:proofErr w:type="spellEnd"/>
      <w:r>
        <w:t xml:space="preserve"> i tuđe prihode.</w:t>
      </w:r>
    </w:p>
    <w:p w14:paraId="38694EB7" w14:textId="77777777" w:rsidR="004156D6" w:rsidRDefault="004156D6"/>
    <w:p w14:paraId="3AFD83D2" w14:textId="77777777" w:rsidR="004156D6" w:rsidRDefault="00000000">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5DF56C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B6D1C1"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999103"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5CE6E6"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12D1FB"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0E6E83"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B279BF" w14:textId="77777777" w:rsidR="004156D6" w:rsidRDefault="00000000">
            <w:pPr>
              <w:keepNext/>
              <w:keepLines/>
              <w:spacing w:after="0" w:line="240" w:lineRule="auto"/>
              <w:jc w:val="center"/>
            </w:pPr>
            <w:r>
              <w:rPr>
                <w:b/>
                <w:sz w:val="18"/>
              </w:rPr>
              <w:t>Indeks (%)</w:t>
            </w:r>
          </w:p>
        </w:tc>
      </w:tr>
      <w:tr w:rsidR="004156D6" w14:paraId="1A172E92" w14:textId="77777777">
        <w:tblPrEx>
          <w:tblCellMar>
            <w:top w:w="0" w:type="dxa"/>
            <w:bottom w:w="0" w:type="dxa"/>
          </w:tblCellMar>
        </w:tblPrEx>
        <w:trPr>
          <w:cantSplit/>
          <w:trHeight w:val="560"/>
        </w:trPr>
        <w:tc>
          <w:tcPr>
            <w:tcW w:w="700" w:type="dxa"/>
            <w:tcMar>
              <w:top w:w="0" w:type="dxa"/>
              <w:bottom w:w="0" w:type="dxa"/>
            </w:tcMar>
            <w:vAlign w:val="center"/>
          </w:tcPr>
          <w:p w14:paraId="2B47BC1B" w14:textId="77777777" w:rsidR="004156D6" w:rsidRDefault="00000000">
            <w:pPr>
              <w:keepNext/>
              <w:keepLines/>
              <w:spacing w:after="0" w:line="240" w:lineRule="auto"/>
            </w:pPr>
            <w:r>
              <w:rPr>
                <w:sz w:val="18"/>
              </w:rPr>
              <w:t>232</w:t>
            </w:r>
          </w:p>
        </w:tc>
        <w:tc>
          <w:tcPr>
            <w:tcW w:w="3180" w:type="dxa"/>
            <w:tcMar>
              <w:top w:w="0" w:type="dxa"/>
              <w:bottom w:w="0" w:type="dxa"/>
            </w:tcMar>
            <w:vAlign w:val="center"/>
          </w:tcPr>
          <w:p w14:paraId="7A082941" w14:textId="77777777" w:rsidR="004156D6"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26238D77" w14:textId="77777777" w:rsidR="004156D6" w:rsidRDefault="00000000">
            <w:pPr>
              <w:keepNext/>
              <w:keepLines/>
              <w:spacing w:after="0" w:line="240" w:lineRule="auto"/>
            </w:pPr>
            <w:r>
              <w:rPr>
                <w:sz w:val="18"/>
              </w:rPr>
              <w:t>232</w:t>
            </w:r>
          </w:p>
        </w:tc>
        <w:tc>
          <w:tcPr>
            <w:tcW w:w="1860" w:type="dxa"/>
            <w:tcMar>
              <w:top w:w="0" w:type="dxa"/>
              <w:bottom w:w="0" w:type="dxa"/>
            </w:tcMar>
            <w:vAlign w:val="center"/>
          </w:tcPr>
          <w:p w14:paraId="3CF6C29B" w14:textId="77777777" w:rsidR="004156D6" w:rsidRDefault="00000000">
            <w:pPr>
              <w:keepNext/>
              <w:keepLines/>
              <w:spacing w:after="0" w:line="240" w:lineRule="auto"/>
              <w:jc w:val="right"/>
            </w:pPr>
            <w:r>
              <w:rPr>
                <w:sz w:val="18"/>
              </w:rPr>
              <w:t>6.415,94</w:t>
            </w:r>
          </w:p>
        </w:tc>
        <w:tc>
          <w:tcPr>
            <w:tcW w:w="1860" w:type="dxa"/>
            <w:tcMar>
              <w:top w:w="0" w:type="dxa"/>
              <w:bottom w:w="0" w:type="dxa"/>
            </w:tcMar>
            <w:vAlign w:val="center"/>
          </w:tcPr>
          <w:p w14:paraId="61948CDF" w14:textId="77777777" w:rsidR="004156D6" w:rsidRDefault="00000000">
            <w:pPr>
              <w:keepNext/>
              <w:keepLines/>
              <w:spacing w:after="0" w:line="240" w:lineRule="auto"/>
              <w:jc w:val="right"/>
            </w:pPr>
            <w:r>
              <w:rPr>
                <w:sz w:val="18"/>
              </w:rPr>
              <w:t>21.217,20</w:t>
            </w:r>
          </w:p>
        </w:tc>
        <w:tc>
          <w:tcPr>
            <w:tcW w:w="700" w:type="dxa"/>
            <w:tcMar>
              <w:top w:w="0" w:type="dxa"/>
              <w:bottom w:w="0" w:type="dxa"/>
            </w:tcMar>
            <w:vAlign w:val="center"/>
          </w:tcPr>
          <w:p w14:paraId="1AED3BAD" w14:textId="77777777" w:rsidR="004156D6" w:rsidRDefault="00000000">
            <w:pPr>
              <w:keepNext/>
              <w:keepLines/>
              <w:spacing w:after="0" w:line="240" w:lineRule="auto"/>
              <w:jc w:val="right"/>
            </w:pPr>
            <w:r>
              <w:rPr>
                <w:sz w:val="18"/>
              </w:rPr>
              <w:t>330,7</w:t>
            </w:r>
          </w:p>
        </w:tc>
      </w:tr>
    </w:tbl>
    <w:p w14:paraId="06625EE6" w14:textId="77777777" w:rsidR="004156D6" w:rsidRDefault="004156D6">
      <w:pPr>
        <w:spacing w:after="0"/>
      </w:pPr>
    </w:p>
    <w:p w14:paraId="06DF5874" w14:textId="77777777" w:rsidR="004156D6" w:rsidRDefault="00000000">
      <w:r>
        <w:t>Povećanje stavke od 230,7% uslijed više izvršenih programa i projekata u odnosu na prethodno izvještajno razdoblje. Većina programa i projekata je izvršena na kraju 2025. godine.</w:t>
      </w:r>
    </w:p>
    <w:p w14:paraId="415104C6" w14:textId="77777777" w:rsidR="004156D6" w:rsidRDefault="004156D6"/>
    <w:p w14:paraId="5C310754" w14:textId="77777777" w:rsidR="004156D6"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089DB8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F314D4"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72F7C3"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97B926"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A6C151"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532A73"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905871" w14:textId="77777777" w:rsidR="004156D6" w:rsidRDefault="00000000">
            <w:pPr>
              <w:keepNext/>
              <w:keepLines/>
              <w:spacing w:after="0" w:line="240" w:lineRule="auto"/>
              <w:jc w:val="center"/>
            </w:pPr>
            <w:r>
              <w:rPr>
                <w:b/>
                <w:sz w:val="18"/>
              </w:rPr>
              <w:t>Indeks (%)</w:t>
            </w:r>
          </w:p>
        </w:tc>
      </w:tr>
      <w:tr w:rsidR="004156D6" w14:paraId="7462DAC7" w14:textId="77777777">
        <w:tblPrEx>
          <w:tblCellMar>
            <w:top w:w="0" w:type="dxa"/>
            <w:bottom w:w="0" w:type="dxa"/>
          </w:tblCellMar>
        </w:tblPrEx>
        <w:trPr>
          <w:cantSplit/>
          <w:trHeight w:val="560"/>
        </w:trPr>
        <w:tc>
          <w:tcPr>
            <w:tcW w:w="700" w:type="dxa"/>
            <w:tcMar>
              <w:top w:w="0" w:type="dxa"/>
              <w:bottom w:w="0" w:type="dxa"/>
            </w:tcMar>
            <w:vAlign w:val="center"/>
          </w:tcPr>
          <w:p w14:paraId="25C18ABA" w14:textId="77777777" w:rsidR="004156D6" w:rsidRDefault="00000000">
            <w:pPr>
              <w:keepNext/>
              <w:keepLines/>
              <w:spacing w:after="0" w:line="240" w:lineRule="auto"/>
            </w:pPr>
            <w:r>
              <w:rPr>
                <w:sz w:val="18"/>
              </w:rPr>
              <w:t>24</w:t>
            </w:r>
          </w:p>
        </w:tc>
        <w:tc>
          <w:tcPr>
            <w:tcW w:w="3180" w:type="dxa"/>
            <w:tcMar>
              <w:top w:w="0" w:type="dxa"/>
              <w:bottom w:w="0" w:type="dxa"/>
            </w:tcMar>
            <w:vAlign w:val="center"/>
          </w:tcPr>
          <w:p w14:paraId="0CF3D3EC" w14:textId="77777777" w:rsidR="004156D6"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0115A9C1" w14:textId="77777777" w:rsidR="004156D6" w:rsidRDefault="00000000">
            <w:pPr>
              <w:keepNext/>
              <w:keepLines/>
              <w:spacing w:after="0" w:line="240" w:lineRule="auto"/>
            </w:pPr>
            <w:r>
              <w:rPr>
                <w:sz w:val="18"/>
              </w:rPr>
              <w:t>24</w:t>
            </w:r>
          </w:p>
        </w:tc>
        <w:tc>
          <w:tcPr>
            <w:tcW w:w="1860" w:type="dxa"/>
            <w:tcMar>
              <w:top w:w="0" w:type="dxa"/>
              <w:bottom w:w="0" w:type="dxa"/>
            </w:tcMar>
            <w:vAlign w:val="center"/>
          </w:tcPr>
          <w:p w14:paraId="371DFA40" w14:textId="77777777" w:rsidR="004156D6" w:rsidRDefault="00000000">
            <w:pPr>
              <w:keepNext/>
              <w:keepLines/>
              <w:spacing w:after="0" w:line="240" w:lineRule="auto"/>
              <w:jc w:val="right"/>
            </w:pPr>
            <w:r>
              <w:rPr>
                <w:sz w:val="18"/>
              </w:rPr>
              <w:t>5.894,86</w:t>
            </w:r>
          </w:p>
        </w:tc>
        <w:tc>
          <w:tcPr>
            <w:tcW w:w="1860" w:type="dxa"/>
            <w:tcMar>
              <w:top w:w="0" w:type="dxa"/>
              <w:bottom w:w="0" w:type="dxa"/>
            </w:tcMar>
            <w:vAlign w:val="center"/>
          </w:tcPr>
          <w:p w14:paraId="14163861" w14:textId="77777777" w:rsidR="004156D6" w:rsidRDefault="00000000">
            <w:pPr>
              <w:keepNext/>
              <w:keepLines/>
              <w:spacing w:after="0" w:line="240" w:lineRule="auto"/>
              <w:jc w:val="right"/>
            </w:pPr>
            <w:r>
              <w:rPr>
                <w:sz w:val="18"/>
              </w:rPr>
              <w:t>11.082,99</w:t>
            </w:r>
          </w:p>
        </w:tc>
        <w:tc>
          <w:tcPr>
            <w:tcW w:w="700" w:type="dxa"/>
            <w:tcMar>
              <w:top w:w="0" w:type="dxa"/>
              <w:bottom w:w="0" w:type="dxa"/>
            </w:tcMar>
            <w:vAlign w:val="center"/>
          </w:tcPr>
          <w:p w14:paraId="337D98FC" w14:textId="77777777" w:rsidR="004156D6" w:rsidRDefault="00000000">
            <w:pPr>
              <w:keepNext/>
              <w:keepLines/>
              <w:spacing w:after="0" w:line="240" w:lineRule="auto"/>
              <w:jc w:val="right"/>
            </w:pPr>
            <w:r>
              <w:rPr>
                <w:sz w:val="18"/>
              </w:rPr>
              <w:t>188,0</w:t>
            </w:r>
          </w:p>
        </w:tc>
      </w:tr>
    </w:tbl>
    <w:p w14:paraId="0F6FFF54" w14:textId="77777777" w:rsidR="004156D6" w:rsidRDefault="004156D6">
      <w:pPr>
        <w:spacing w:after="0"/>
      </w:pPr>
    </w:p>
    <w:p w14:paraId="56A2F6E1" w14:textId="77777777" w:rsidR="004156D6" w:rsidRDefault="00000000">
      <w:r>
        <w:t>Povećanje obveza od 88% najvećim dijelom zbog dodatnih ulaganja na postrojenjima i opremi te na građevinskim objektima na kraju 2025. godine. Odnose se na Stalni postav Muzeja i na Energetsku obnovu Muzeja.</w:t>
      </w:r>
    </w:p>
    <w:p w14:paraId="44E60CE0" w14:textId="77777777" w:rsidR="004156D6" w:rsidRDefault="004156D6"/>
    <w:p w14:paraId="4888BFDF" w14:textId="77777777" w:rsidR="004156D6"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312256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35A754"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6108C6"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9A63CE"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F3A171"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852A18"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AC9D7C" w14:textId="77777777" w:rsidR="004156D6" w:rsidRDefault="00000000">
            <w:pPr>
              <w:keepNext/>
              <w:keepLines/>
              <w:spacing w:after="0" w:line="240" w:lineRule="auto"/>
              <w:jc w:val="center"/>
            </w:pPr>
            <w:r>
              <w:rPr>
                <w:b/>
                <w:sz w:val="18"/>
              </w:rPr>
              <w:t>Indeks (%)</w:t>
            </w:r>
          </w:p>
        </w:tc>
      </w:tr>
      <w:tr w:rsidR="004156D6" w14:paraId="78CC28B3" w14:textId="77777777">
        <w:tblPrEx>
          <w:tblCellMar>
            <w:top w:w="0" w:type="dxa"/>
            <w:bottom w:w="0" w:type="dxa"/>
          </w:tblCellMar>
        </w:tblPrEx>
        <w:trPr>
          <w:cantSplit/>
          <w:trHeight w:val="560"/>
        </w:trPr>
        <w:tc>
          <w:tcPr>
            <w:tcW w:w="700" w:type="dxa"/>
            <w:tcMar>
              <w:top w:w="0" w:type="dxa"/>
              <w:bottom w:w="0" w:type="dxa"/>
            </w:tcMar>
            <w:vAlign w:val="center"/>
          </w:tcPr>
          <w:p w14:paraId="0D6EB9FB" w14:textId="77777777" w:rsidR="004156D6" w:rsidRDefault="00000000">
            <w:pPr>
              <w:keepNext/>
              <w:keepLines/>
              <w:spacing w:after="0" w:line="240" w:lineRule="auto"/>
            </w:pPr>
            <w:r>
              <w:rPr>
                <w:sz w:val="18"/>
              </w:rPr>
              <w:t>27</w:t>
            </w:r>
          </w:p>
        </w:tc>
        <w:tc>
          <w:tcPr>
            <w:tcW w:w="3180" w:type="dxa"/>
            <w:tcMar>
              <w:top w:w="0" w:type="dxa"/>
              <w:bottom w:w="0" w:type="dxa"/>
            </w:tcMar>
            <w:vAlign w:val="center"/>
          </w:tcPr>
          <w:p w14:paraId="6BE17A28" w14:textId="77777777" w:rsidR="004156D6"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441839EB" w14:textId="77777777" w:rsidR="004156D6" w:rsidRDefault="00000000">
            <w:pPr>
              <w:keepNext/>
              <w:keepLines/>
              <w:spacing w:after="0" w:line="240" w:lineRule="auto"/>
            </w:pPr>
            <w:r>
              <w:rPr>
                <w:sz w:val="18"/>
              </w:rPr>
              <w:t>27</w:t>
            </w:r>
          </w:p>
        </w:tc>
        <w:tc>
          <w:tcPr>
            <w:tcW w:w="1860" w:type="dxa"/>
            <w:tcMar>
              <w:top w:w="0" w:type="dxa"/>
              <w:bottom w:w="0" w:type="dxa"/>
            </w:tcMar>
            <w:vAlign w:val="center"/>
          </w:tcPr>
          <w:p w14:paraId="7072C575" w14:textId="77777777" w:rsidR="004156D6" w:rsidRDefault="00000000">
            <w:pPr>
              <w:keepNext/>
              <w:keepLines/>
              <w:spacing w:after="0" w:line="240" w:lineRule="auto"/>
              <w:jc w:val="right"/>
            </w:pPr>
            <w:r>
              <w:rPr>
                <w:sz w:val="18"/>
              </w:rPr>
              <w:t>0,00</w:t>
            </w:r>
          </w:p>
        </w:tc>
        <w:tc>
          <w:tcPr>
            <w:tcW w:w="1860" w:type="dxa"/>
            <w:tcMar>
              <w:top w:w="0" w:type="dxa"/>
              <w:bottom w:w="0" w:type="dxa"/>
            </w:tcMar>
            <w:vAlign w:val="center"/>
          </w:tcPr>
          <w:p w14:paraId="7E0E1894" w14:textId="77777777" w:rsidR="004156D6" w:rsidRDefault="00000000">
            <w:pPr>
              <w:keepNext/>
              <w:keepLines/>
              <w:spacing w:after="0" w:line="240" w:lineRule="auto"/>
              <w:jc w:val="right"/>
            </w:pPr>
            <w:r>
              <w:rPr>
                <w:sz w:val="18"/>
              </w:rPr>
              <w:t>265.458,52</w:t>
            </w:r>
          </w:p>
        </w:tc>
        <w:tc>
          <w:tcPr>
            <w:tcW w:w="700" w:type="dxa"/>
            <w:tcMar>
              <w:top w:w="0" w:type="dxa"/>
              <w:bottom w:w="0" w:type="dxa"/>
            </w:tcMar>
            <w:vAlign w:val="center"/>
          </w:tcPr>
          <w:p w14:paraId="7DD1E85D" w14:textId="77777777" w:rsidR="004156D6" w:rsidRDefault="00000000">
            <w:pPr>
              <w:keepNext/>
              <w:keepLines/>
              <w:spacing w:after="0" w:line="240" w:lineRule="auto"/>
              <w:jc w:val="right"/>
            </w:pPr>
            <w:r>
              <w:rPr>
                <w:sz w:val="18"/>
              </w:rPr>
              <w:t>-</w:t>
            </w:r>
          </w:p>
        </w:tc>
      </w:tr>
    </w:tbl>
    <w:p w14:paraId="4B42510A" w14:textId="77777777" w:rsidR="004156D6" w:rsidRDefault="004156D6">
      <w:pPr>
        <w:spacing w:after="0"/>
      </w:pPr>
    </w:p>
    <w:p w14:paraId="4A2BC9C5" w14:textId="77777777" w:rsidR="004156D6" w:rsidRDefault="00000000">
      <w:r>
        <w:t>U ovom izvještajnom razdoblju bilježimo obveze za primljene predujmove po projektu Energetska obnova Muzeja.</w:t>
      </w:r>
    </w:p>
    <w:p w14:paraId="0CE85BF1" w14:textId="77777777" w:rsidR="004156D6" w:rsidRDefault="004156D6"/>
    <w:p w14:paraId="491BEA11" w14:textId="77777777" w:rsidR="004156D6"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60103A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EF6CE2"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310AB8"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750EE8"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C9C0DC"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F884F2"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112DA0" w14:textId="77777777" w:rsidR="004156D6" w:rsidRDefault="00000000">
            <w:pPr>
              <w:keepNext/>
              <w:keepLines/>
              <w:spacing w:after="0" w:line="240" w:lineRule="auto"/>
              <w:jc w:val="center"/>
            </w:pPr>
            <w:r>
              <w:rPr>
                <w:b/>
                <w:sz w:val="18"/>
              </w:rPr>
              <w:t>Indeks (%)</w:t>
            </w:r>
          </w:p>
        </w:tc>
      </w:tr>
      <w:tr w:rsidR="004156D6" w14:paraId="36E86098" w14:textId="77777777">
        <w:tblPrEx>
          <w:tblCellMar>
            <w:top w:w="0" w:type="dxa"/>
            <w:bottom w:w="0" w:type="dxa"/>
          </w:tblCellMar>
        </w:tblPrEx>
        <w:trPr>
          <w:cantSplit/>
          <w:trHeight w:val="560"/>
        </w:trPr>
        <w:tc>
          <w:tcPr>
            <w:tcW w:w="700" w:type="dxa"/>
            <w:tcMar>
              <w:top w:w="0" w:type="dxa"/>
              <w:bottom w:w="0" w:type="dxa"/>
            </w:tcMar>
            <w:vAlign w:val="center"/>
          </w:tcPr>
          <w:p w14:paraId="69AAB99B" w14:textId="77777777" w:rsidR="004156D6" w:rsidRDefault="00000000">
            <w:pPr>
              <w:keepNext/>
              <w:keepLines/>
              <w:spacing w:after="0" w:line="240" w:lineRule="auto"/>
            </w:pPr>
            <w:r>
              <w:rPr>
                <w:sz w:val="18"/>
              </w:rPr>
              <w:t>922</w:t>
            </w:r>
          </w:p>
        </w:tc>
        <w:tc>
          <w:tcPr>
            <w:tcW w:w="3180" w:type="dxa"/>
            <w:tcMar>
              <w:top w:w="0" w:type="dxa"/>
              <w:bottom w:w="0" w:type="dxa"/>
            </w:tcMar>
            <w:vAlign w:val="center"/>
          </w:tcPr>
          <w:p w14:paraId="559F51B0" w14:textId="77777777" w:rsidR="004156D6"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5C0DB9BB" w14:textId="77777777" w:rsidR="004156D6" w:rsidRDefault="00000000">
            <w:pPr>
              <w:keepNext/>
              <w:keepLines/>
              <w:spacing w:after="0" w:line="240" w:lineRule="auto"/>
            </w:pPr>
            <w:r>
              <w:rPr>
                <w:sz w:val="18"/>
              </w:rPr>
              <w:t>922</w:t>
            </w:r>
          </w:p>
        </w:tc>
        <w:tc>
          <w:tcPr>
            <w:tcW w:w="1860" w:type="dxa"/>
            <w:tcMar>
              <w:top w:w="0" w:type="dxa"/>
              <w:bottom w:w="0" w:type="dxa"/>
            </w:tcMar>
            <w:vAlign w:val="center"/>
          </w:tcPr>
          <w:p w14:paraId="159B3140" w14:textId="77777777" w:rsidR="004156D6" w:rsidRDefault="00000000">
            <w:pPr>
              <w:keepNext/>
              <w:keepLines/>
              <w:spacing w:after="0" w:line="240" w:lineRule="auto"/>
              <w:jc w:val="right"/>
            </w:pPr>
            <w:r>
              <w:rPr>
                <w:sz w:val="18"/>
              </w:rPr>
              <w:t>-59.074,32</w:t>
            </w:r>
          </w:p>
        </w:tc>
        <w:tc>
          <w:tcPr>
            <w:tcW w:w="1860" w:type="dxa"/>
            <w:tcMar>
              <w:top w:w="0" w:type="dxa"/>
              <w:bottom w:w="0" w:type="dxa"/>
            </w:tcMar>
            <w:vAlign w:val="center"/>
          </w:tcPr>
          <w:p w14:paraId="7DBD1074" w14:textId="77777777" w:rsidR="004156D6" w:rsidRDefault="00000000">
            <w:pPr>
              <w:keepNext/>
              <w:keepLines/>
              <w:spacing w:after="0" w:line="240" w:lineRule="auto"/>
              <w:jc w:val="right"/>
            </w:pPr>
            <w:r>
              <w:rPr>
                <w:sz w:val="18"/>
              </w:rPr>
              <w:t>-268.198,72</w:t>
            </w:r>
          </w:p>
        </w:tc>
        <w:tc>
          <w:tcPr>
            <w:tcW w:w="700" w:type="dxa"/>
            <w:tcMar>
              <w:top w:w="0" w:type="dxa"/>
              <w:bottom w:w="0" w:type="dxa"/>
            </w:tcMar>
            <w:vAlign w:val="center"/>
          </w:tcPr>
          <w:p w14:paraId="592D38C9" w14:textId="77777777" w:rsidR="004156D6" w:rsidRDefault="00000000">
            <w:pPr>
              <w:keepNext/>
              <w:keepLines/>
              <w:spacing w:after="0" w:line="240" w:lineRule="auto"/>
              <w:jc w:val="right"/>
            </w:pPr>
            <w:r>
              <w:rPr>
                <w:sz w:val="18"/>
              </w:rPr>
              <w:t>454,0</w:t>
            </w:r>
          </w:p>
        </w:tc>
      </w:tr>
    </w:tbl>
    <w:p w14:paraId="0BCE7E70" w14:textId="77777777" w:rsidR="004156D6" w:rsidRDefault="004156D6">
      <w:pPr>
        <w:spacing w:after="0"/>
      </w:pPr>
    </w:p>
    <w:p w14:paraId="0BD552A7" w14:textId="77777777" w:rsidR="004156D6" w:rsidRDefault="00000000">
      <w:r>
        <w:t xml:space="preserve">Manjak prihoda bilježi povećanje od 354%. Manjak prihoda sastoji se od manjka prihoda poslovanja koji je veći za 9,8% te od manjka prihoda nefinancijske imovine koji je veći za 3.298,5%. Manjak prihoda poslovanja se odnosi na plaće i materijalne rashode za prosinac 2025., a koji će biti plaćeni u 2026. godini. Manjak prihoda od nefinancijske imovine </w:t>
      </w:r>
      <w:r>
        <w:lastRenderedPageBreak/>
        <w:t>najvećim se dijelom odnosi na nastale rashode za koje nisu naplaćeni prihodi od EU u 2025. godini. </w:t>
      </w:r>
    </w:p>
    <w:p w14:paraId="11D07A7B" w14:textId="77777777" w:rsidR="004156D6" w:rsidRDefault="00000000">
      <w:r>
        <w:t>Prikaz rezultata poslovanja prema izvorima financiranja:</w:t>
      </w:r>
    </w:p>
    <w:tbl>
      <w:tblPr>
        <w:tblStyle w:val="Reetkatablice"/>
        <w:tblW w:w="2127" w:type="pct"/>
        <w:tblLook w:val="04A0" w:firstRow="1" w:lastRow="0" w:firstColumn="1" w:lastColumn="0" w:noHBand="0" w:noVBand="1"/>
      </w:tblPr>
      <w:tblGrid>
        <w:gridCol w:w="862"/>
        <w:gridCol w:w="1577"/>
        <w:gridCol w:w="1416"/>
      </w:tblGrid>
      <w:tr w:rsidR="004156D6" w14:paraId="48CE8D4E" w14:textId="77777777">
        <w:trPr>
          <w:trHeight w:val="540"/>
        </w:trPr>
        <w:tc>
          <w:tcPr>
            <w:tcW w:w="1666" w:type="pct"/>
            <w:vAlign w:val="center"/>
          </w:tcPr>
          <w:p w14:paraId="05F781CD" w14:textId="77777777" w:rsidR="004156D6" w:rsidRDefault="00000000">
            <w:r>
              <w:rPr>
                <w:b/>
              </w:rPr>
              <w:t>922</w:t>
            </w:r>
          </w:p>
        </w:tc>
        <w:tc>
          <w:tcPr>
            <w:tcW w:w="1666" w:type="pct"/>
            <w:vAlign w:val="center"/>
          </w:tcPr>
          <w:p w14:paraId="033B4308" w14:textId="77777777" w:rsidR="004156D6" w:rsidRDefault="00000000">
            <w:r>
              <w:rPr>
                <w:b/>
              </w:rPr>
              <w:t>Manjak prihoda</w:t>
            </w:r>
          </w:p>
        </w:tc>
        <w:tc>
          <w:tcPr>
            <w:tcW w:w="1666" w:type="pct"/>
            <w:vAlign w:val="center"/>
          </w:tcPr>
          <w:p w14:paraId="13874E2B" w14:textId="77777777" w:rsidR="004156D6" w:rsidRDefault="00000000">
            <w:r>
              <w:rPr>
                <w:b/>
              </w:rPr>
              <w:t> -268.198,72</w:t>
            </w:r>
          </w:p>
        </w:tc>
      </w:tr>
      <w:tr w:rsidR="004156D6" w14:paraId="2B3E7A2D" w14:textId="77777777">
        <w:trPr>
          <w:trHeight w:val="540"/>
        </w:trPr>
        <w:tc>
          <w:tcPr>
            <w:tcW w:w="1666" w:type="pct"/>
            <w:vAlign w:val="center"/>
          </w:tcPr>
          <w:p w14:paraId="370FD755" w14:textId="77777777" w:rsidR="004156D6" w:rsidRDefault="00000000">
            <w:r>
              <w:rPr>
                <w:b/>
              </w:rPr>
              <w:t>92221</w:t>
            </w:r>
          </w:p>
        </w:tc>
        <w:tc>
          <w:tcPr>
            <w:tcW w:w="1666" w:type="pct"/>
            <w:vAlign w:val="center"/>
          </w:tcPr>
          <w:p w14:paraId="75C4A43A" w14:textId="77777777" w:rsidR="004156D6" w:rsidRDefault="00000000">
            <w:r>
              <w:rPr>
                <w:b/>
              </w:rPr>
              <w:t>Manjak prihoda poslovanja</w:t>
            </w:r>
          </w:p>
        </w:tc>
        <w:tc>
          <w:tcPr>
            <w:tcW w:w="1666" w:type="pct"/>
            <w:vAlign w:val="center"/>
          </w:tcPr>
          <w:p w14:paraId="13DD48CC" w14:textId="77777777" w:rsidR="004156D6" w:rsidRDefault="00000000">
            <w:r>
              <w:rPr>
                <w:b/>
              </w:rPr>
              <w:t>   -58.095,16</w:t>
            </w:r>
          </w:p>
        </w:tc>
      </w:tr>
      <w:tr w:rsidR="004156D6" w14:paraId="73B07626" w14:textId="77777777">
        <w:trPr>
          <w:trHeight w:val="540"/>
        </w:trPr>
        <w:tc>
          <w:tcPr>
            <w:tcW w:w="1666" w:type="pct"/>
            <w:vAlign w:val="center"/>
          </w:tcPr>
          <w:p w14:paraId="16E1CF71" w14:textId="77777777" w:rsidR="004156D6" w:rsidRDefault="00000000">
            <w:r>
              <w:t>11</w:t>
            </w:r>
          </w:p>
        </w:tc>
        <w:tc>
          <w:tcPr>
            <w:tcW w:w="1666" w:type="pct"/>
            <w:vAlign w:val="center"/>
          </w:tcPr>
          <w:p w14:paraId="6FDFD347" w14:textId="77777777" w:rsidR="004156D6" w:rsidRDefault="00000000">
            <w:r>
              <w:t>Opći prihodi i primici</w:t>
            </w:r>
          </w:p>
        </w:tc>
        <w:tc>
          <w:tcPr>
            <w:tcW w:w="1666" w:type="pct"/>
            <w:vAlign w:val="center"/>
          </w:tcPr>
          <w:p w14:paraId="78B93197" w14:textId="77777777" w:rsidR="004156D6" w:rsidRDefault="00000000">
            <w:r>
              <w:t>   -67.827,57</w:t>
            </w:r>
          </w:p>
        </w:tc>
      </w:tr>
      <w:tr w:rsidR="004156D6" w14:paraId="7E73C7E3" w14:textId="77777777">
        <w:trPr>
          <w:trHeight w:val="540"/>
        </w:trPr>
        <w:tc>
          <w:tcPr>
            <w:tcW w:w="1666" w:type="pct"/>
            <w:vAlign w:val="center"/>
          </w:tcPr>
          <w:p w14:paraId="53B1793A" w14:textId="77777777" w:rsidR="004156D6" w:rsidRDefault="00000000">
            <w:r>
              <w:t>31</w:t>
            </w:r>
          </w:p>
        </w:tc>
        <w:tc>
          <w:tcPr>
            <w:tcW w:w="1666" w:type="pct"/>
            <w:vAlign w:val="center"/>
          </w:tcPr>
          <w:p w14:paraId="5A8495C9" w14:textId="77777777" w:rsidR="004156D6" w:rsidRDefault="00000000">
            <w:r>
              <w:t>Vlastiti prihodi</w:t>
            </w:r>
          </w:p>
        </w:tc>
        <w:tc>
          <w:tcPr>
            <w:tcW w:w="1666" w:type="pct"/>
            <w:vAlign w:val="center"/>
          </w:tcPr>
          <w:p w14:paraId="2B73398E" w14:textId="77777777" w:rsidR="004156D6" w:rsidRDefault="00000000">
            <w:r>
              <w:t>      7.956,35</w:t>
            </w:r>
          </w:p>
        </w:tc>
      </w:tr>
      <w:tr w:rsidR="004156D6" w14:paraId="2E69031A" w14:textId="77777777">
        <w:trPr>
          <w:trHeight w:val="570"/>
        </w:trPr>
        <w:tc>
          <w:tcPr>
            <w:tcW w:w="1666" w:type="pct"/>
            <w:vAlign w:val="center"/>
          </w:tcPr>
          <w:p w14:paraId="3AC83E5C" w14:textId="77777777" w:rsidR="004156D6" w:rsidRDefault="00000000">
            <w:r>
              <w:t>44</w:t>
            </w:r>
          </w:p>
        </w:tc>
        <w:tc>
          <w:tcPr>
            <w:tcW w:w="1666" w:type="pct"/>
            <w:vAlign w:val="center"/>
          </w:tcPr>
          <w:p w14:paraId="2F0D22AB" w14:textId="77777777" w:rsidR="004156D6" w:rsidRDefault="00000000">
            <w:r>
              <w:t>Ostali prihodi za posebne namjene</w:t>
            </w:r>
          </w:p>
        </w:tc>
        <w:tc>
          <w:tcPr>
            <w:tcW w:w="1666" w:type="pct"/>
            <w:vAlign w:val="center"/>
          </w:tcPr>
          <w:p w14:paraId="25F7CC65" w14:textId="77777777" w:rsidR="004156D6" w:rsidRDefault="00000000">
            <w:r>
              <w:t>      2.353,59</w:t>
            </w:r>
          </w:p>
        </w:tc>
      </w:tr>
      <w:tr w:rsidR="004156D6" w14:paraId="7A4F7231" w14:textId="77777777">
        <w:tc>
          <w:tcPr>
            <w:tcW w:w="1666" w:type="pct"/>
            <w:vAlign w:val="center"/>
          </w:tcPr>
          <w:p w14:paraId="0DA8D012" w14:textId="77777777" w:rsidR="004156D6" w:rsidRDefault="00000000">
            <w:r>
              <w:t>51</w:t>
            </w:r>
          </w:p>
        </w:tc>
        <w:tc>
          <w:tcPr>
            <w:tcW w:w="1666" w:type="pct"/>
            <w:vAlign w:val="center"/>
          </w:tcPr>
          <w:p w14:paraId="2042EAED" w14:textId="77777777" w:rsidR="004156D6" w:rsidRDefault="00000000">
            <w:r>
              <w:t>Pomoći iz državnog proračuna</w:t>
            </w:r>
          </w:p>
        </w:tc>
        <w:tc>
          <w:tcPr>
            <w:tcW w:w="1666" w:type="pct"/>
            <w:vAlign w:val="center"/>
          </w:tcPr>
          <w:p w14:paraId="423B5C44" w14:textId="77777777" w:rsidR="004156D6" w:rsidRDefault="00000000">
            <w:r>
              <w:t>      1.734,97</w:t>
            </w:r>
          </w:p>
        </w:tc>
      </w:tr>
      <w:tr w:rsidR="004156D6" w14:paraId="125537C8" w14:textId="77777777">
        <w:tc>
          <w:tcPr>
            <w:tcW w:w="1666" w:type="pct"/>
            <w:vAlign w:val="center"/>
          </w:tcPr>
          <w:p w14:paraId="54DCCBAB" w14:textId="77777777" w:rsidR="004156D6" w:rsidRDefault="00000000">
            <w:r>
              <w:t>61</w:t>
            </w:r>
          </w:p>
        </w:tc>
        <w:tc>
          <w:tcPr>
            <w:tcW w:w="1666" w:type="pct"/>
            <w:vAlign w:val="center"/>
          </w:tcPr>
          <w:p w14:paraId="357E415A" w14:textId="77777777" w:rsidR="004156D6" w:rsidRDefault="00000000">
            <w:r>
              <w:t>Donacije</w:t>
            </w:r>
          </w:p>
        </w:tc>
        <w:tc>
          <w:tcPr>
            <w:tcW w:w="1666" w:type="pct"/>
            <w:vAlign w:val="center"/>
          </w:tcPr>
          <w:p w14:paraId="479DF88E" w14:textId="77777777" w:rsidR="004156D6" w:rsidRDefault="00000000">
            <w:r>
              <w:t>      1.000,00</w:t>
            </w:r>
          </w:p>
        </w:tc>
      </w:tr>
      <w:tr w:rsidR="004156D6" w14:paraId="6C508991" w14:textId="77777777">
        <w:tc>
          <w:tcPr>
            <w:tcW w:w="1666" w:type="pct"/>
            <w:vAlign w:val="center"/>
          </w:tcPr>
          <w:p w14:paraId="6A499F1D" w14:textId="77777777" w:rsidR="004156D6" w:rsidRDefault="00000000">
            <w:r>
              <w:t>56</w:t>
            </w:r>
          </w:p>
        </w:tc>
        <w:tc>
          <w:tcPr>
            <w:tcW w:w="1666" w:type="pct"/>
            <w:vAlign w:val="center"/>
          </w:tcPr>
          <w:p w14:paraId="256A02DD" w14:textId="77777777" w:rsidR="004156D6" w:rsidRDefault="00000000">
            <w:r>
              <w:t>Sredstva Europske unije</w:t>
            </w:r>
          </w:p>
        </w:tc>
        <w:tc>
          <w:tcPr>
            <w:tcW w:w="1666" w:type="pct"/>
            <w:vAlign w:val="center"/>
          </w:tcPr>
          <w:p w14:paraId="6EFC9E44" w14:textId="77777777" w:rsidR="004156D6" w:rsidRDefault="00000000">
            <w:r>
              <w:t>    -3.312,50</w:t>
            </w:r>
          </w:p>
        </w:tc>
      </w:tr>
      <w:tr w:rsidR="004156D6" w14:paraId="6193D484" w14:textId="77777777">
        <w:tc>
          <w:tcPr>
            <w:tcW w:w="1666" w:type="pct"/>
            <w:vAlign w:val="center"/>
          </w:tcPr>
          <w:p w14:paraId="68BA6B0C" w14:textId="77777777" w:rsidR="004156D6" w:rsidRDefault="00000000">
            <w:r>
              <w:rPr>
                <w:b/>
              </w:rPr>
              <w:t>92222</w:t>
            </w:r>
          </w:p>
        </w:tc>
        <w:tc>
          <w:tcPr>
            <w:tcW w:w="1666" w:type="pct"/>
            <w:vAlign w:val="center"/>
          </w:tcPr>
          <w:p w14:paraId="52A99070" w14:textId="77777777" w:rsidR="004156D6" w:rsidRDefault="00000000">
            <w:r>
              <w:rPr>
                <w:b/>
              </w:rPr>
              <w:t>Manjak prihoda od nefinancijske imovine</w:t>
            </w:r>
          </w:p>
        </w:tc>
        <w:tc>
          <w:tcPr>
            <w:tcW w:w="1666" w:type="pct"/>
            <w:vAlign w:val="center"/>
          </w:tcPr>
          <w:p w14:paraId="4E16F3CD" w14:textId="77777777" w:rsidR="004156D6" w:rsidRDefault="00000000">
            <w:r>
              <w:rPr>
                <w:b/>
              </w:rPr>
              <w:t> -210.103,56</w:t>
            </w:r>
          </w:p>
        </w:tc>
      </w:tr>
      <w:tr w:rsidR="004156D6" w14:paraId="7044F143" w14:textId="77777777">
        <w:tc>
          <w:tcPr>
            <w:tcW w:w="1666" w:type="pct"/>
            <w:vAlign w:val="center"/>
          </w:tcPr>
          <w:p w14:paraId="7F4CAC02" w14:textId="77777777" w:rsidR="004156D6" w:rsidRDefault="00000000">
            <w:r>
              <w:t>11</w:t>
            </w:r>
          </w:p>
        </w:tc>
        <w:tc>
          <w:tcPr>
            <w:tcW w:w="1666" w:type="pct"/>
            <w:vAlign w:val="center"/>
          </w:tcPr>
          <w:p w14:paraId="3B6FC3AF" w14:textId="77777777" w:rsidR="004156D6" w:rsidRDefault="00000000">
            <w:r>
              <w:t>Opći prihodi i primici</w:t>
            </w:r>
          </w:p>
        </w:tc>
        <w:tc>
          <w:tcPr>
            <w:tcW w:w="1666" w:type="pct"/>
            <w:vAlign w:val="center"/>
          </w:tcPr>
          <w:p w14:paraId="49B2ED43" w14:textId="77777777" w:rsidR="004156D6" w:rsidRDefault="00000000">
            <w:r>
              <w:t>     -5.583,00</w:t>
            </w:r>
          </w:p>
        </w:tc>
      </w:tr>
      <w:tr w:rsidR="004156D6" w14:paraId="67A52979" w14:textId="77777777">
        <w:tc>
          <w:tcPr>
            <w:tcW w:w="1666" w:type="pct"/>
            <w:vAlign w:val="center"/>
          </w:tcPr>
          <w:p w14:paraId="1FE893F3" w14:textId="77777777" w:rsidR="004156D6" w:rsidRDefault="00000000">
            <w:r>
              <w:t>56</w:t>
            </w:r>
          </w:p>
        </w:tc>
        <w:tc>
          <w:tcPr>
            <w:tcW w:w="1666" w:type="pct"/>
            <w:vAlign w:val="center"/>
          </w:tcPr>
          <w:p w14:paraId="38808774" w14:textId="77777777" w:rsidR="004156D6" w:rsidRDefault="00000000">
            <w:r>
              <w:t>Sredstva Europske unije</w:t>
            </w:r>
          </w:p>
        </w:tc>
        <w:tc>
          <w:tcPr>
            <w:tcW w:w="1666" w:type="pct"/>
            <w:vAlign w:val="center"/>
          </w:tcPr>
          <w:p w14:paraId="35D92D21" w14:textId="77777777" w:rsidR="004156D6" w:rsidRDefault="00000000">
            <w:r>
              <w:t> -204.520,56</w:t>
            </w:r>
          </w:p>
        </w:tc>
      </w:tr>
    </w:tbl>
    <w:p w14:paraId="4634E2AB" w14:textId="77777777" w:rsidR="004156D6" w:rsidRDefault="00000000">
      <w:r>
        <w:t> </w:t>
      </w:r>
    </w:p>
    <w:p w14:paraId="75E8A08C" w14:textId="77777777" w:rsidR="004156D6" w:rsidRDefault="00000000">
      <w:r>
        <w:t>Tijekom 2025. godine na računima kapitalnih prijenosa sredstava evidentirano je ukupno 237.687,14 eura.</w:t>
      </w:r>
    </w:p>
    <w:p w14:paraId="7864004F" w14:textId="77777777" w:rsidR="004156D6" w:rsidRDefault="00000000">
      <w:r>
        <w:t>Provedena je korekcija rezultata na način da se za iznos od 237.687,14 eura zadužuje račun viška poslovanja, a odobrava račun manjka prihoda od nefinancijske imovine.</w:t>
      </w:r>
    </w:p>
    <w:p w14:paraId="2F6CD4CE" w14:textId="77777777" w:rsidR="004156D6" w:rsidRDefault="00000000">
      <w:r>
        <w:t>Bilješke uz 1. obveznu korekciju</w:t>
      </w:r>
    </w:p>
    <w:tbl>
      <w:tblPr>
        <w:tblStyle w:val="Reetkatablice"/>
        <w:tblW w:w="1976" w:type="pct"/>
        <w:tblLook w:val="04A0" w:firstRow="1" w:lastRow="0" w:firstColumn="1" w:lastColumn="0" w:noHBand="0" w:noVBand="1"/>
      </w:tblPr>
      <w:tblGrid>
        <w:gridCol w:w="816"/>
        <w:gridCol w:w="1657"/>
        <w:gridCol w:w="1296"/>
        <w:gridCol w:w="1550"/>
        <w:gridCol w:w="1416"/>
      </w:tblGrid>
      <w:tr w:rsidR="004156D6" w14:paraId="4ECC93CA" w14:textId="77777777">
        <w:trPr>
          <w:trHeight w:val="944"/>
        </w:trPr>
        <w:tc>
          <w:tcPr>
            <w:tcW w:w="589" w:type="pct"/>
            <w:vAlign w:val="center"/>
          </w:tcPr>
          <w:p w14:paraId="7D2CB148" w14:textId="77777777" w:rsidR="004156D6" w:rsidRDefault="00000000">
            <w:r>
              <w:t> </w:t>
            </w:r>
          </w:p>
        </w:tc>
        <w:tc>
          <w:tcPr>
            <w:tcW w:w="1197" w:type="pct"/>
            <w:vAlign w:val="center"/>
          </w:tcPr>
          <w:p w14:paraId="369A1E2E" w14:textId="77777777" w:rsidR="004156D6" w:rsidRDefault="00000000">
            <w:r>
              <w:t>Pozicije na dan 31.12.2025.</w:t>
            </w:r>
          </w:p>
        </w:tc>
        <w:tc>
          <w:tcPr>
            <w:tcW w:w="1061" w:type="pct"/>
            <w:vAlign w:val="center"/>
          </w:tcPr>
          <w:p w14:paraId="51848A79" w14:textId="77777777" w:rsidR="004156D6" w:rsidRDefault="00000000">
            <w:r>
              <w:t>PR-RAS</w:t>
            </w:r>
          </w:p>
        </w:tc>
        <w:tc>
          <w:tcPr>
            <w:tcW w:w="1170" w:type="pct"/>
            <w:vAlign w:val="center"/>
          </w:tcPr>
          <w:p w14:paraId="64C133E6" w14:textId="77777777" w:rsidR="004156D6" w:rsidRDefault="00000000">
            <w:r>
              <w:t>1. KOREKCIJA</w:t>
            </w:r>
          </w:p>
        </w:tc>
        <w:tc>
          <w:tcPr>
            <w:tcW w:w="981" w:type="pct"/>
            <w:vAlign w:val="center"/>
          </w:tcPr>
          <w:p w14:paraId="62F0E6A1" w14:textId="77777777" w:rsidR="004156D6" w:rsidRDefault="00000000">
            <w:r>
              <w:t>BILANCA</w:t>
            </w:r>
          </w:p>
        </w:tc>
      </w:tr>
      <w:tr w:rsidR="004156D6" w14:paraId="4DE4B9D7" w14:textId="77777777">
        <w:trPr>
          <w:trHeight w:val="878"/>
        </w:trPr>
        <w:tc>
          <w:tcPr>
            <w:tcW w:w="589" w:type="pct"/>
            <w:vAlign w:val="center"/>
          </w:tcPr>
          <w:p w14:paraId="194E9C67" w14:textId="77777777" w:rsidR="004156D6" w:rsidRDefault="00000000">
            <w:r>
              <w:t>92211</w:t>
            </w:r>
          </w:p>
        </w:tc>
        <w:tc>
          <w:tcPr>
            <w:tcW w:w="1197" w:type="pct"/>
            <w:vAlign w:val="center"/>
          </w:tcPr>
          <w:p w14:paraId="77D2E418" w14:textId="77777777" w:rsidR="004156D6" w:rsidRDefault="00000000">
            <w:r>
              <w:t>Višak prihoda poslovanja</w:t>
            </w:r>
          </w:p>
        </w:tc>
        <w:tc>
          <w:tcPr>
            <w:tcW w:w="1061" w:type="pct"/>
            <w:vAlign w:val="center"/>
          </w:tcPr>
          <w:p w14:paraId="70857443" w14:textId="77777777" w:rsidR="004156D6" w:rsidRDefault="00000000">
            <w:r>
              <w:t>179.591,98</w:t>
            </w:r>
          </w:p>
        </w:tc>
        <w:tc>
          <w:tcPr>
            <w:tcW w:w="1170" w:type="pct"/>
            <w:vAlign w:val="center"/>
          </w:tcPr>
          <w:p w14:paraId="4ACA1ECF" w14:textId="77777777" w:rsidR="004156D6" w:rsidRDefault="00000000">
            <w:r>
              <w:t>-237.687,14</w:t>
            </w:r>
          </w:p>
        </w:tc>
        <w:tc>
          <w:tcPr>
            <w:tcW w:w="981" w:type="pct"/>
            <w:vAlign w:val="center"/>
          </w:tcPr>
          <w:p w14:paraId="470CB767" w14:textId="77777777" w:rsidR="004156D6" w:rsidRDefault="00000000">
            <w:r>
              <w:t>0,00</w:t>
            </w:r>
          </w:p>
        </w:tc>
      </w:tr>
      <w:tr w:rsidR="004156D6" w14:paraId="60A57D39" w14:textId="77777777">
        <w:trPr>
          <w:trHeight w:val="1214"/>
        </w:trPr>
        <w:tc>
          <w:tcPr>
            <w:tcW w:w="589" w:type="pct"/>
            <w:vAlign w:val="center"/>
          </w:tcPr>
          <w:p w14:paraId="5ABA5BA0" w14:textId="77777777" w:rsidR="004156D6" w:rsidRDefault="00000000">
            <w:r>
              <w:lastRenderedPageBreak/>
              <w:t>92221</w:t>
            </w:r>
          </w:p>
        </w:tc>
        <w:tc>
          <w:tcPr>
            <w:tcW w:w="1197" w:type="pct"/>
            <w:vAlign w:val="center"/>
          </w:tcPr>
          <w:p w14:paraId="3A59DFE5" w14:textId="77777777" w:rsidR="004156D6" w:rsidRDefault="00000000">
            <w:r>
              <w:t>Manjak prihoda poslovanja</w:t>
            </w:r>
          </w:p>
        </w:tc>
        <w:tc>
          <w:tcPr>
            <w:tcW w:w="1061" w:type="pct"/>
            <w:vAlign w:val="center"/>
          </w:tcPr>
          <w:p w14:paraId="24EF14B5" w14:textId="77777777" w:rsidR="004156D6" w:rsidRDefault="00000000">
            <w:r>
              <w:t>0,00</w:t>
            </w:r>
          </w:p>
        </w:tc>
        <w:tc>
          <w:tcPr>
            <w:tcW w:w="1170" w:type="pct"/>
            <w:vAlign w:val="center"/>
          </w:tcPr>
          <w:p w14:paraId="02FA264B" w14:textId="77777777" w:rsidR="004156D6" w:rsidRDefault="00000000">
            <w:r>
              <w:t>0,00</w:t>
            </w:r>
          </w:p>
        </w:tc>
        <w:tc>
          <w:tcPr>
            <w:tcW w:w="981" w:type="pct"/>
            <w:vAlign w:val="center"/>
          </w:tcPr>
          <w:p w14:paraId="519BCA1C" w14:textId="77777777" w:rsidR="004156D6" w:rsidRDefault="00000000">
            <w:r>
              <w:t>-58.095,16</w:t>
            </w:r>
          </w:p>
        </w:tc>
      </w:tr>
      <w:tr w:rsidR="004156D6" w14:paraId="598FA5F3" w14:textId="77777777">
        <w:trPr>
          <w:trHeight w:val="1550"/>
        </w:trPr>
        <w:tc>
          <w:tcPr>
            <w:tcW w:w="589" w:type="pct"/>
            <w:vAlign w:val="center"/>
          </w:tcPr>
          <w:p w14:paraId="47C1D783" w14:textId="77777777" w:rsidR="004156D6" w:rsidRDefault="00000000">
            <w:r>
              <w:t>92222</w:t>
            </w:r>
          </w:p>
        </w:tc>
        <w:tc>
          <w:tcPr>
            <w:tcW w:w="1197" w:type="pct"/>
            <w:vAlign w:val="center"/>
          </w:tcPr>
          <w:p w14:paraId="72759454" w14:textId="77777777" w:rsidR="004156D6" w:rsidRDefault="00000000">
            <w:r>
              <w:t>Manjak prihoda od nefinancijske imovine</w:t>
            </w:r>
          </w:p>
        </w:tc>
        <w:tc>
          <w:tcPr>
            <w:tcW w:w="1061" w:type="pct"/>
            <w:vAlign w:val="center"/>
          </w:tcPr>
          <w:p w14:paraId="23C84F42" w14:textId="77777777" w:rsidR="004156D6" w:rsidRDefault="00000000">
            <w:r>
              <w:t> -447.790,70</w:t>
            </w:r>
          </w:p>
        </w:tc>
        <w:tc>
          <w:tcPr>
            <w:tcW w:w="1170" w:type="pct"/>
            <w:vAlign w:val="center"/>
          </w:tcPr>
          <w:p w14:paraId="56954A74" w14:textId="77777777" w:rsidR="004156D6" w:rsidRDefault="00000000">
            <w:r>
              <w:t>-237.687,14</w:t>
            </w:r>
          </w:p>
        </w:tc>
        <w:tc>
          <w:tcPr>
            <w:tcW w:w="981" w:type="pct"/>
            <w:vAlign w:val="center"/>
          </w:tcPr>
          <w:p w14:paraId="385615D0" w14:textId="77777777" w:rsidR="004156D6" w:rsidRDefault="00000000">
            <w:r>
              <w:t> -210.103,56</w:t>
            </w:r>
          </w:p>
        </w:tc>
      </w:tr>
      <w:tr w:rsidR="004156D6" w14:paraId="4A60C794" w14:textId="77777777">
        <w:trPr>
          <w:trHeight w:val="878"/>
        </w:trPr>
        <w:tc>
          <w:tcPr>
            <w:tcW w:w="589" w:type="pct"/>
            <w:vAlign w:val="center"/>
          </w:tcPr>
          <w:p w14:paraId="76DE4FDD" w14:textId="77777777" w:rsidR="004156D6" w:rsidRDefault="00000000">
            <w:r>
              <w:rPr>
                <w:b/>
              </w:rPr>
              <w:t>922</w:t>
            </w:r>
          </w:p>
        </w:tc>
        <w:tc>
          <w:tcPr>
            <w:tcW w:w="1197" w:type="pct"/>
            <w:vAlign w:val="center"/>
          </w:tcPr>
          <w:p w14:paraId="49AAC367" w14:textId="77777777" w:rsidR="004156D6" w:rsidRDefault="00000000">
            <w:r>
              <w:rPr>
                <w:b/>
              </w:rPr>
              <w:t>Višak/manjak prihoda</w:t>
            </w:r>
          </w:p>
        </w:tc>
        <w:tc>
          <w:tcPr>
            <w:tcW w:w="1061" w:type="pct"/>
            <w:vAlign w:val="center"/>
          </w:tcPr>
          <w:p w14:paraId="37171279" w14:textId="77777777" w:rsidR="004156D6" w:rsidRDefault="00000000">
            <w:r>
              <w:rPr>
                <w:b/>
              </w:rPr>
              <w:t> -268.198,72</w:t>
            </w:r>
          </w:p>
        </w:tc>
        <w:tc>
          <w:tcPr>
            <w:tcW w:w="1170" w:type="pct"/>
            <w:vAlign w:val="center"/>
          </w:tcPr>
          <w:p w14:paraId="0B2C6D73" w14:textId="77777777" w:rsidR="004156D6" w:rsidRDefault="00000000">
            <w:r>
              <w:t> </w:t>
            </w:r>
          </w:p>
        </w:tc>
        <w:tc>
          <w:tcPr>
            <w:tcW w:w="981" w:type="pct"/>
            <w:vAlign w:val="center"/>
          </w:tcPr>
          <w:p w14:paraId="426F7ED0" w14:textId="77777777" w:rsidR="004156D6" w:rsidRDefault="00000000">
            <w:r>
              <w:rPr>
                <w:b/>
              </w:rPr>
              <w:t> -268.1698,72</w:t>
            </w:r>
          </w:p>
        </w:tc>
      </w:tr>
    </w:tbl>
    <w:p w14:paraId="7DD566AF" w14:textId="77777777" w:rsidR="004156D6" w:rsidRDefault="00000000">
      <w:r>
        <w:t>Korektivna konta po izvorima:</w:t>
      </w:r>
    </w:p>
    <w:tbl>
      <w:tblPr>
        <w:tblStyle w:val="Reetkatablice"/>
        <w:tblW w:w="3298" w:type="pct"/>
        <w:tblLook w:val="04A0" w:firstRow="1" w:lastRow="0" w:firstColumn="1" w:lastColumn="0" w:noHBand="0" w:noVBand="1"/>
      </w:tblPr>
      <w:tblGrid>
        <w:gridCol w:w="1043"/>
        <w:gridCol w:w="1716"/>
        <w:gridCol w:w="1296"/>
        <w:gridCol w:w="1922"/>
      </w:tblGrid>
      <w:tr w:rsidR="004156D6" w14:paraId="44CA57B9" w14:textId="77777777">
        <w:trPr>
          <w:trHeight w:val="767"/>
        </w:trPr>
        <w:tc>
          <w:tcPr>
            <w:tcW w:w="600" w:type="pct"/>
            <w:vAlign w:val="center"/>
          </w:tcPr>
          <w:p w14:paraId="7ED13351" w14:textId="77777777" w:rsidR="004156D6" w:rsidRDefault="00000000">
            <w:r>
              <w:t>Odjeljak</w:t>
            </w:r>
          </w:p>
        </w:tc>
        <w:tc>
          <w:tcPr>
            <w:tcW w:w="1719" w:type="pct"/>
            <w:vAlign w:val="center"/>
          </w:tcPr>
          <w:p w14:paraId="3AAAB26C" w14:textId="77777777" w:rsidR="004156D6" w:rsidRDefault="00000000">
            <w:r>
              <w:t>Naziv</w:t>
            </w:r>
          </w:p>
        </w:tc>
        <w:tc>
          <w:tcPr>
            <w:tcW w:w="788" w:type="pct"/>
            <w:vAlign w:val="center"/>
          </w:tcPr>
          <w:p w14:paraId="418BA6C9" w14:textId="77777777" w:rsidR="004156D6" w:rsidRDefault="00000000">
            <w:r>
              <w:t>Iznos</w:t>
            </w:r>
          </w:p>
        </w:tc>
        <w:tc>
          <w:tcPr>
            <w:tcW w:w="1891" w:type="pct"/>
            <w:vAlign w:val="center"/>
          </w:tcPr>
          <w:p w14:paraId="258A46C9" w14:textId="77777777" w:rsidR="004156D6" w:rsidRDefault="00000000">
            <w:r>
              <w:t>Izvor financiranja</w:t>
            </w:r>
          </w:p>
        </w:tc>
      </w:tr>
      <w:tr w:rsidR="004156D6" w14:paraId="551DF393" w14:textId="77777777">
        <w:trPr>
          <w:trHeight w:val="860"/>
        </w:trPr>
        <w:tc>
          <w:tcPr>
            <w:tcW w:w="600" w:type="pct"/>
            <w:vAlign w:val="center"/>
          </w:tcPr>
          <w:p w14:paraId="219431B8" w14:textId="77777777" w:rsidR="004156D6" w:rsidRDefault="00000000">
            <w:r>
              <w:t>6712</w:t>
            </w:r>
          </w:p>
        </w:tc>
        <w:tc>
          <w:tcPr>
            <w:tcW w:w="1719" w:type="pct"/>
            <w:vAlign w:val="center"/>
          </w:tcPr>
          <w:p w14:paraId="4D442DB2" w14:textId="77777777" w:rsidR="004156D6" w:rsidRDefault="00000000">
            <w:r>
              <w:t>Prihodi iz nadležnog proračuna za financiranje rashoda za nabavu nefinancijske imovine</w:t>
            </w:r>
          </w:p>
        </w:tc>
        <w:tc>
          <w:tcPr>
            <w:tcW w:w="788" w:type="pct"/>
            <w:vAlign w:val="center"/>
          </w:tcPr>
          <w:p w14:paraId="4B99D4F0" w14:textId="77777777" w:rsidR="004156D6" w:rsidRDefault="00000000">
            <w:r>
              <w:t>37.687,14</w:t>
            </w:r>
          </w:p>
        </w:tc>
        <w:tc>
          <w:tcPr>
            <w:tcW w:w="1891" w:type="pct"/>
            <w:vAlign w:val="center"/>
          </w:tcPr>
          <w:p w14:paraId="678ADBC5" w14:textId="77777777" w:rsidR="004156D6" w:rsidRDefault="00000000">
            <w:r>
              <w:t>11 Opći prihodi i primici</w:t>
            </w:r>
          </w:p>
        </w:tc>
      </w:tr>
      <w:tr w:rsidR="004156D6" w14:paraId="77F2E79C" w14:textId="77777777">
        <w:trPr>
          <w:trHeight w:val="542"/>
        </w:trPr>
        <w:tc>
          <w:tcPr>
            <w:tcW w:w="600" w:type="pct"/>
            <w:vAlign w:val="center"/>
          </w:tcPr>
          <w:p w14:paraId="79163487" w14:textId="77777777" w:rsidR="004156D6" w:rsidRDefault="00000000">
            <w:r>
              <w:t>6362</w:t>
            </w:r>
          </w:p>
        </w:tc>
        <w:tc>
          <w:tcPr>
            <w:tcW w:w="1719" w:type="pct"/>
            <w:vAlign w:val="center"/>
          </w:tcPr>
          <w:p w14:paraId="63EA0EFC" w14:textId="77777777" w:rsidR="004156D6" w:rsidRDefault="00000000">
            <w:r>
              <w:t xml:space="preserve">Kapitalne pomoći proračunskim </w:t>
            </w:r>
            <w:proofErr w:type="spellStart"/>
            <w:r>
              <w:t>korisnicina</w:t>
            </w:r>
            <w:proofErr w:type="spellEnd"/>
            <w:r>
              <w:t xml:space="preserve"> iz proračuna koji im nije nadležan</w:t>
            </w:r>
          </w:p>
        </w:tc>
        <w:tc>
          <w:tcPr>
            <w:tcW w:w="788" w:type="pct"/>
            <w:vAlign w:val="center"/>
          </w:tcPr>
          <w:p w14:paraId="254DC1C6" w14:textId="77777777" w:rsidR="004156D6" w:rsidRDefault="00000000">
            <w:r>
              <w:t>200.000,00</w:t>
            </w:r>
          </w:p>
        </w:tc>
        <w:tc>
          <w:tcPr>
            <w:tcW w:w="1891" w:type="pct"/>
            <w:vAlign w:val="center"/>
          </w:tcPr>
          <w:p w14:paraId="330F95CF" w14:textId="77777777" w:rsidR="004156D6" w:rsidRDefault="00000000">
            <w:r>
              <w:t>51 Pomoći iz državnog proračuna</w:t>
            </w:r>
          </w:p>
        </w:tc>
      </w:tr>
      <w:tr w:rsidR="004156D6" w14:paraId="3BED22C3" w14:textId="77777777">
        <w:tc>
          <w:tcPr>
            <w:tcW w:w="600" w:type="pct"/>
            <w:vAlign w:val="center"/>
          </w:tcPr>
          <w:p w14:paraId="3CAC3B77" w14:textId="77777777" w:rsidR="004156D6" w:rsidRDefault="00000000">
            <w:r>
              <w:t> </w:t>
            </w:r>
          </w:p>
        </w:tc>
        <w:tc>
          <w:tcPr>
            <w:tcW w:w="1719" w:type="pct"/>
            <w:vAlign w:val="center"/>
          </w:tcPr>
          <w:p w14:paraId="36721E5F" w14:textId="77777777" w:rsidR="004156D6" w:rsidRDefault="00000000">
            <w:r>
              <w:t>Ukupno kapitalnih prijenosa</w:t>
            </w:r>
          </w:p>
        </w:tc>
        <w:tc>
          <w:tcPr>
            <w:tcW w:w="788" w:type="pct"/>
            <w:vAlign w:val="center"/>
          </w:tcPr>
          <w:p w14:paraId="5303E9B1" w14:textId="77777777" w:rsidR="004156D6" w:rsidRDefault="00000000">
            <w:r>
              <w:t>237.687,14</w:t>
            </w:r>
          </w:p>
        </w:tc>
        <w:tc>
          <w:tcPr>
            <w:tcW w:w="1891" w:type="pct"/>
            <w:vAlign w:val="center"/>
          </w:tcPr>
          <w:p w14:paraId="58291A91" w14:textId="77777777" w:rsidR="004156D6" w:rsidRDefault="00000000">
            <w:r>
              <w:t> </w:t>
            </w:r>
          </w:p>
        </w:tc>
      </w:tr>
    </w:tbl>
    <w:p w14:paraId="135B76DF" w14:textId="77777777" w:rsidR="004156D6" w:rsidRDefault="00000000">
      <w:r>
        <w:t> </w:t>
      </w:r>
    </w:p>
    <w:p w14:paraId="36EC0F4C" w14:textId="77777777" w:rsidR="004156D6" w:rsidRDefault="004156D6"/>
    <w:p w14:paraId="191398A0" w14:textId="77777777" w:rsidR="004156D6"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57E760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D2E694"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E474EF"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66E55D"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7A1A64"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53670A"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A4B602" w14:textId="77777777" w:rsidR="004156D6" w:rsidRDefault="00000000">
            <w:pPr>
              <w:keepNext/>
              <w:keepLines/>
              <w:spacing w:after="0" w:line="240" w:lineRule="auto"/>
              <w:jc w:val="center"/>
            </w:pPr>
            <w:r>
              <w:rPr>
                <w:b/>
                <w:sz w:val="18"/>
              </w:rPr>
              <w:t>Indeks (%)</w:t>
            </w:r>
          </w:p>
        </w:tc>
      </w:tr>
      <w:tr w:rsidR="004156D6" w14:paraId="18782D8B" w14:textId="77777777">
        <w:tblPrEx>
          <w:tblCellMar>
            <w:top w:w="0" w:type="dxa"/>
            <w:bottom w:w="0" w:type="dxa"/>
          </w:tblCellMar>
        </w:tblPrEx>
        <w:trPr>
          <w:cantSplit/>
          <w:trHeight w:val="560"/>
        </w:trPr>
        <w:tc>
          <w:tcPr>
            <w:tcW w:w="700" w:type="dxa"/>
            <w:tcMar>
              <w:top w:w="0" w:type="dxa"/>
              <w:bottom w:w="0" w:type="dxa"/>
            </w:tcMar>
            <w:vAlign w:val="center"/>
          </w:tcPr>
          <w:p w14:paraId="62714FFA" w14:textId="77777777" w:rsidR="004156D6" w:rsidRDefault="00000000">
            <w:pPr>
              <w:keepNext/>
              <w:keepLines/>
              <w:spacing w:after="0" w:line="240" w:lineRule="auto"/>
            </w:pPr>
            <w:r>
              <w:rPr>
                <w:sz w:val="18"/>
              </w:rPr>
              <w:t>996</w:t>
            </w:r>
          </w:p>
        </w:tc>
        <w:tc>
          <w:tcPr>
            <w:tcW w:w="3180" w:type="dxa"/>
            <w:tcMar>
              <w:top w:w="0" w:type="dxa"/>
              <w:bottom w:w="0" w:type="dxa"/>
            </w:tcMar>
            <w:vAlign w:val="center"/>
          </w:tcPr>
          <w:p w14:paraId="301622D5" w14:textId="77777777" w:rsidR="004156D6" w:rsidRDefault="00000000">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5C430644" w14:textId="77777777" w:rsidR="004156D6" w:rsidRDefault="00000000">
            <w:pPr>
              <w:keepNext/>
              <w:keepLines/>
              <w:spacing w:after="0" w:line="240" w:lineRule="auto"/>
            </w:pPr>
            <w:r>
              <w:rPr>
                <w:sz w:val="18"/>
              </w:rPr>
              <w:t>996</w:t>
            </w:r>
          </w:p>
        </w:tc>
        <w:tc>
          <w:tcPr>
            <w:tcW w:w="1860" w:type="dxa"/>
            <w:tcMar>
              <w:top w:w="0" w:type="dxa"/>
              <w:bottom w:w="0" w:type="dxa"/>
            </w:tcMar>
            <w:vAlign w:val="center"/>
          </w:tcPr>
          <w:p w14:paraId="12544416" w14:textId="77777777" w:rsidR="004156D6" w:rsidRDefault="00000000">
            <w:pPr>
              <w:keepNext/>
              <w:keepLines/>
              <w:spacing w:after="0" w:line="240" w:lineRule="auto"/>
              <w:jc w:val="right"/>
            </w:pPr>
            <w:r>
              <w:rPr>
                <w:sz w:val="18"/>
              </w:rPr>
              <w:t>19.272,28</w:t>
            </w:r>
          </w:p>
        </w:tc>
        <w:tc>
          <w:tcPr>
            <w:tcW w:w="1860" w:type="dxa"/>
            <w:tcMar>
              <w:top w:w="0" w:type="dxa"/>
              <w:bottom w:w="0" w:type="dxa"/>
            </w:tcMar>
            <w:vAlign w:val="center"/>
          </w:tcPr>
          <w:p w14:paraId="45C4AA40" w14:textId="77777777" w:rsidR="004156D6" w:rsidRDefault="00000000">
            <w:pPr>
              <w:keepNext/>
              <w:keepLines/>
              <w:spacing w:after="0" w:line="240" w:lineRule="auto"/>
              <w:jc w:val="right"/>
            </w:pPr>
            <w:r>
              <w:rPr>
                <w:sz w:val="18"/>
              </w:rPr>
              <w:t>2.668.560,17</w:t>
            </w:r>
          </w:p>
        </w:tc>
        <w:tc>
          <w:tcPr>
            <w:tcW w:w="700" w:type="dxa"/>
            <w:tcMar>
              <w:top w:w="0" w:type="dxa"/>
              <w:bottom w:w="0" w:type="dxa"/>
            </w:tcMar>
            <w:vAlign w:val="center"/>
          </w:tcPr>
          <w:p w14:paraId="24C4442D" w14:textId="77777777" w:rsidR="004156D6" w:rsidRDefault="00000000">
            <w:pPr>
              <w:keepNext/>
              <w:keepLines/>
              <w:spacing w:after="0" w:line="240" w:lineRule="auto"/>
              <w:jc w:val="right"/>
            </w:pPr>
            <w:r>
              <w:rPr>
                <w:sz w:val="18"/>
              </w:rPr>
              <w:t>&gt;&gt;100</w:t>
            </w:r>
          </w:p>
        </w:tc>
      </w:tr>
    </w:tbl>
    <w:p w14:paraId="5577F401" w14:textId="77777777" w:rsidR="004156D6" w:rsidRDefault="004156D6">
      <w:pPr>
        <w:spacing w:after="0"/>
      </w:pPr>
    </w:p>
    <w:p w14:paraId="75D8A147" w14:textId="77777777" w:rsidR="004156D6" w:rsidRDefault="00000000">
      <w:proofErr w:type="spellStart"/>
      <w:r>
        <w:t>Izvanbilančni</w:t>
      </w:r>
      <w:proofErr w:type="spellEnd"/>
      <w:r>
        <w:t xml:space="preserve"> zapisi se sastoje od instrumenata osiguranja plaćanja, preuzetih obveza po ugovorima o nabavi roba, radova i usluga te od potraživanja po ugovorima o dodijeljenim bespovratnim sredstvima i EU fondova.</w:t>
      </w:r>
    </w:p>
    <w:p w14:paraId="12B0159C" w14:textId="77777777" w:rsidR="004156D6" w:rsidRDefault="00000000">
      <w:r>
        <w:lastRenderedPageBreak/>
        <w:t>Detaljniji tablični prikazi su niže u bilješkama.</w:t>
      </w:r>
    </w:p>
    <w:p w14:paraId="0839BC0B" w14:textId="77777777" w:rsidR="004156D6" w:rsidRDefault="004156D6"/>
    <w:p w14:paraId="29EFB895" w14:textId="77777777" w:rsidR="004156D6"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20C656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88E3A6"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9247FF"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E0E2AB"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649C94"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D7A72A"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34E872" w14:textId="77777777" w:rsidR="004156D6" w:rsidRDefault="00000000">
            <w:pPr>
              <w:keepNext/>
              <w:keepLines/>
              <w:spacing w:after="0" w:line="240" w:lineRule="auto"/>
              <w:jc w:val="center"/>
            </w:pPr>
            <w:r>
              <w:rPr>
                <w:b/>
                <w:sz w:val="18"/>
              </w:rPr>
              <w:t>Indeks (%)</w:t>
            </w:r>
          </w:p>
        </w:tc>
      </w:tr>
      <w:tr w:rsidR="004156D6" w14:paraId="6CCDE755" w14:textId="77777777">
        <w:tblPrEx>
          <w:tblCellMar>
            <w:top w:w="0" w:type="dxa"/>
            <w:bottom w:w="0" w:type="dxa"/>
          </w:tblCellMar>
        </w:tblPrEx>
        <w:trPr>
          <w:cantSplit/>
          <w:trHeight w:val="560"/>
        </w:trPr>
        <w:tc>
          <w:tcPr>
            <w:tcW w:w="700" w:type="dxa"/>
            <w:tcMar>
              <w:top w:w="0" w:type="dxa"/>
              <w:bottom w:w="0" w:type="dxa"/>
            </w:tcMar>
            <w:vAlign w:val="center"/>
          </w:tcPr>
          <w:p w14:paraId="73F9D40A" w14:textId="77777777" w:rsidR="004156D6" w:rsidRDefault="00000000">
            <w:pPr>
              <w:keepNext/>
              <w:keepLines/>
              <w:spacing w:after="0" w:line="240" w:lineRule="auto"/>
            </w:pPr>
            <w:r>
              <w:rPr>
                <w:sz w:val="18"/>
              </w:rPr>
              <w:t>16721</w:t>
            </w:r>
          </w:p>
        </w:tc>
        <w:tc>
          <w:tcPr>
            <w:tcW w:w="3180" w:type="dxa"/>
            <w:tcMar>
              <w:top w:w="0" w:type="dxa"/>
              <w:bottom w:w="0" w:type="dxa"/>
            </w:tcMar>
            <w:vAlign w:val="center"/>
          </w:tcPr>
          <w:p w14:paraId="524885DB" w14:textId="77777777" w:rsidR="004156D6" w:rsidRDefault="00000000">
            <w:pPr>
              <w:keepNext/>
              <w:keepLines/>
              <w:spacing w:after="0" w:line="240" w:lineRule="auto"/>
            </w:pPr>
            <w:r>
              <w:rPr>
                <w:sz w:val="18"/>
              </w:rPr>
              <w:t>Potraživanja proračunskih korisnika za sredstva uplaćena u nadležni proračun</w:t>
            </w:r>
          </w:p>
        </w:tc>
        <w:tc>
          <w:tcPr>
            <w:tcW w:w="700" w:type="dxa"/>
            <w:tcMar>
              <w:top w:w="0" w:type="dxa"/>
              <w:bottom w:w="0" w:type="dxa"/>
            </w:tcMar>
            <w:vAlign w:val="center"/>
          </w:tcPr>
          <w:p w14:paraId="43441712" w14:textId="77777777" w:rsidR="004156D6" w:rsidRDefault="00000000">
            <w:pPr>
              <w:keepNext/>
              <w:keepLines/>
              <w:spacing w:after="0" w:line="240" w:lineRule="auto"/>
            </w:pPr>
            <w:r>
              <w:rPr>
                <w:sz w:val="18"/>
              </w:rPr>
              <w:t>16721</w:t>
            </w:r>
          </w:p>
        </w:tc>
        <w:tc>
          <w:tcPr>
            <w:tcW w:w="1860" w:type="dxa"/>
            <w:tcMar>
              <w:top w:w="0" w:type="dxa"/>
              <w:bottom w:w="0" w:type="dxa"/>
            </w:tcMar>
            <w:vAlign w:val="center"/>
          </w:tcPr>
          <w:p w14:paraId="2635F8B0" w14:textId="77777777" w:rsidR="004156D6" w:rsidRDefault="00000000">
            <w:pPr>
              <w:keepNext/>
              <w:keepLines/>
              <w:spacing w:after="0" w:line="240" w:lineRule="auto"/>
              <w:jc w:val="right"/>
            </w:pPr>
            <w:r>
              <w:rPr>
                <w:sz w:val="18"/>
              </w:rPr>
              <w:t>5.551,85</w:t>
            </w:r>
          </w:p>
        </w:tc>
        <w:tc>
          <w:tcPr>
            <w:tcW w:w="1860" w:type="dxa"/>
            <w:tcMar>
              <w:top w:w="0" w:type="dxa"/>
              <w:bottom w:w="0" w:type="dxa"/>
            </w:tcMar>
            <w:vAlign w:val="center"/>
          </w:tcPr>
          <w:p w14:paraId="7F924808" w14:textId="77777777" w:rsidR="004156D6" w:rsidRDefault="00000000">
            <w:pPr>
              <w:keepNext/>
              <w:keepLines/>
              <w:spacing w:after="0" w:line="240" w:lineRule="auto"/>
              <w:jc w:val="right"/>
            </w:pPr>
            <w:r>
              <w:rPr>
                <w:sz w:val="18"/>
              </w:rPr>
              <w:t>77.821,33</w:t>
            </w:r>
          </w:p>
        </w:tc>
        <w:tc>
          <w:tcPr>
            <w:tcW w:w="700" w:type="dxa"/>
            <w:tcMar>
              <w:top w:w="0" w:type="dxa"/>
              <w:bottom w:w="0" w:type="dxa"/>
            </w:tcMar>
            <w:vAlign w:val="center"/>
          </w:tcPr>
          <w:p w14:paraId="29E261C7" w14:textId="77777777" w:rsidR="004156D6" w:rsidRDefault="00000000">
            <w:pPr>
              <w:keepNext/>
              <w:keepLines/>
              <w:spacing w:after="0" w:line="240" w:lineRule="auto"/>
              <w:jc w:val="right"/>
            </w:pPr>
            <w:r>
              <w:rPr>
                <w:sz w:val="18"/>
              </w:rPr>
              <w:t>1401,7</w:t>
            </w:r>
          </w:p>
        </w:tc>
      </w:tr>
    </w:tbl>
    <w:p w14:paraId="32309221" w14:textId="77777777" w:rsidR="004156D6" w:rsidRDefault="004156D6">
      <w:pPr>
        <w:spacing w:after="0"/>
      </w:pPr>
    </w:p>
    <w:p w14:paraId="0C62C559" w14:textId="77777777" w:rsidR="004156D6" w:rsidRDefault="00000000">
      <w:r>
        <w:t>Povećanje od 1301,7% u odnosu na prethodno izvještajno razdoblje se najvećim dijelom odnosi na uplaćeni predujam za projekt Energetska obnova Muzeja koji nije u cijelosti utrošen u 2025. godini.</w:t>
      </w:r>
    </w:p>
    <w:p w14:paraId="44399424" w14:textId="77777777" w:rsidR="004156D6" w:rsidRDefault="00000000">
      <w:r>
        <w:t>Potraživanja proračunskih korisnika za sredstva uplaćena u nadležni proračun jesu nedospjela potraživanja.</w:t>
      </w:r>
    </w:p>
    <w:p w14:paraId="6FF4F461" w14:textId="77777777" w:rsidR="004156D6" w:rsidRDefault="004156D6"/>
    <w:p w14:paraId="23501C22" w14:textId="77777777" w:rsidR="004156D6"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13E4BD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541799"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1A1ADA"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8507F7"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8F88B7"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7CA33B"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8EE49A" w14:textId="77777777" w:rsidR="004156D6" w:rsidRDefault="00000000">
            <w:pPr>
              <w:keepNext/>
              <w:keepLines/>
              <w:spacing w:after="0" w:line="240" w:lineRule="auto"/>
              <w:jc w:val="center"/>
            </w:pPr>
            <w:r>
              <w:rPr>
                <w:b/>
                <w:sz w:val="18"/>
              </w:rPr>
              <w:t>Indeks (%)</w:t>
            </w:r>
          </w:p>
        </w:tc>
      </w:tr>
      <w:tr w:rsidR="004156D6" w14:paraId="2773EC5B" w14:textId="77777777">
        <w:tblPrEx>
          <w:tblCellMar>
            <w:top w:w="0" w:type="dxa"/>
            <w:bottom w:w="0" w:type="dxa"/>
          </w:tblCellMar>
        </w:tblPrEx>
        <w:trPr>
          <w:cantSplit/>
          <w:trHeight w:val="560"/>
        </w:trPr>
        <w:tc>
          <w:tcPr>
            <w:tcW w:w="700" w:type="dxa"/>
            <w:tcMar>
              <w:top w:w="0" w:type="dxa"/>
              <w:bottom w:w="0" w:type="dxa"/>
            </w:tcMar>
            <w:vAlign w:val="center"/>
          </w:tcPr>
          <w:p w14:paraId="49445531" w14:textId="77777777" w:rsidR="004156D6" w:rsidRDefault="00000000">
            <w:pPr>
              <w:keepNext/>
              <w:keepLines/>
              <w:spacing w:after="0" w:line="240" w:lineRule="auto"/>
            </w:pPr>
            <w:r>
              <w:rPr>
                <w:sz w:val="18"/>
              </w:rPr>
              <w:t>dio 24</w:t>
            </w:r>
          </w:p>
        </w:tc>
        <w:tc>
          <w:tcPr>
            <w:tcW w:w="3180" w:type="dxa"/>
            <w:tcMar>
              <w:top w:w="0" w:type="dxa"/>
              <w:bottom w:w="0" w:type="dxa"/>
            </w:tcMar>
            <w:vAlign w:val="center"/>
          </w:tcPr>
          <w:p w14:paraId="5D851B08" w14:textId="77777777" w:rsidR="004156D6" w:rsidRDefault="00000000">
            <w:pPr>
              <w:keepNext/>
              <w:keepLines/>
              <w:spacing w:after="0" w:line="240" w:lineRule="auto"/>
            </w:pPr>
            <w:r>
              <w:rPr>
                <w:sz w:val="18"/>
              </w:rPr>
              <w:t>Obveze za nabavu nefinancijske imovine - dospjele</w:t>
            </w:r>
          </w:p>
        </w:tc>
        <w:tc>
          <w:tcPr>
            <w:tcW w:w="700" w:type="dxa"/>
            <w:tcMar>
              <w:top w:w="0" w:type="dxa"/>
              <w:bottom w:w="0" w:type="dxa"/>
            </w:tcMar>
            <w:vAlign w:val="center"/>
          </w:tcPr>
          <w:p w14:paraId="566AE0C4" w14:textId="77777777" w:rsidR="004156D6" w:rsidRDefault="00000000">
            <w:pPr>
              <w:keepNext/>
              <w:keepLines/>
              <w:spacing w:after="0" w:line="240" w:lineRule="auto"/>
            </w:pPr>
            <w:r>
              <w:rPr>
                <w:sz w:val="18"/>
              </w:rPr>
              <w:t>dio 24 D</w:t>
            </w:r>
          </w:p>
        </w:tc>
        <w:tc>
          <w:tcPr>
            <w:tcW w:w="1860" w:type="dxa"/>
            <w:tcMar>
              <w:top w:w="0" w:type="dxa"/>
              <w:bottom w:w="0" w:type="dxa"/>
            </w:tcMar>
            <w:vAlign w:val="center"/>
          </w:tcPr>
          <w:p w14:paraId="5D3D9764" w14:textId="77777777" w:rsidR="004156D6" w:rsidRDefault="00000000">
            <w:pPr>
              <w:keepNext/>
              <w:keepLines/>
              <w:spacing w:after="0" w:line="240" w:lineRule="auto"/>
              <w:jc w:val="right"/>
            </w:pPr>
            <w:r>
              <w:rPr>
                <w:sz w:val="18"/>
              </w:rPr>
              <w:t>826,11</w:t>
            </w:r>
          </w:p>
        </w:tc>
        <w:tc>
          <w:tcPr>
            <w:tcW w:w="1860" w:type="dxa"/>
            <w:tcMar>
              <w:top w:w="0" w:type="dxa"/>
              <w:bottom w:w="0" w:type="dxa"/>
            </w:tcMar>
            <w:vAlign w:val="center"/>
          </w:tcPr>
          <w:p w14:paraId="1EE5CF84" w14:textId="77777777" w:rsidR="004156D6" w:rsidRDefault="00000000">
            <w:pPr>
              <w:keepNext/>
              <w:keepLines/>
              <w:spacing w:after="0" w:line="240" w:lineRule="auto"/>
              <w:jc w:val="right"/>
            </w:pPr>
            <w:r>
              <w:rPr>
                <w:sz w:val="18"/>
              </w:rPr>
              <w:t>3.458,00</w:t>
            </w:r>
          </w:p>
        </w:tc>
        <w:tc>
          <w:tcPr>
            <w:tcW w:w="700" w:type="dxa"/>
            <w:tcMar>
              <w:top w:w="0" w:type="dxa"/>
              <w:bottom w:w="0" w:type="dxa"/>
            </w:tcMar>
            <w:vAlign w:val="center"/>
          </w:tcPr>
          <w:p w14:paraId="7156BBEA" w14:textId="77777777" w:rsidR="004156D6" w:rsidRDefault="00000000">
            <w:pPr>
              <w:keepNext/>
              <w:keepLines/>
              <w:spacing w:after="0" w:line="240" w:lineRule="auto"/>
              <w:jc w:val="right"/>
            </w:pPr>
            <w:r>
              <w:rPr>
                <w:sz w:val="18"/>
              </w:rPr>
              <w:t>418,6</w:t>
            </w:r>
          </w:p>
        </w:tc>
      </w:tr>
    </w:tbl>
    <w:p w14:paraId="253F2BB6" w14:textId="77777777" w:rsidR="004156D6" w:rsidRDefault="004156D6">
      <w:pPr>
        <w:spacing w:after="0"/>
      </w:pPr>
    </w:p>
    <w:p w14:paraId="037CB7FE" w14:textId="77777777" w:rsidR="004156D6" w:rsidRDefault="00000000">
      <w:r>
        <w:t>Povećanje od 318,6% odnosi se na nabavu računalne opreme i fotoaparata.</w:t>
      </w:r>
    </w:p>
    <w:p w14:paraId="62AB3AB4" w14:textId="77777777" w:rsidR="004156D6" w:rsidRDefault="004156D6"/>
    <w:p w14:paraId="5DF7E467" w14:textId="77777777" w:rsidR="004156D6"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65D6C2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023B88"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B28A67"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745B85"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E7EFCF"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E7A0A8"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0B1950" w14:textId="77777777" w:rsidR="004156D6" w:rsidRDefault="00000000">
            <w:pPr>
              <w:keepNext/>
              <w:keepLines/>
              <w:spacing w:after="0" w:line="240" w:lineRule="auto"/>
              <w:jc w:val="center"/>
            </w:pPr>
            <w:r>
              <w:rPr>
                <w:b/>
                <w:sz w:val="18"/>
              </w:rPr>
              <w:t>Indeks (%)</w:t>
            </w:r>
          </w:p>
        </w:tc>
      </w:tr>
      <w:tr w:rsidR="004156D6" w14:paraId="6453BCA1" w14:textId="77777777">
        <w:tblPrEx>
          <w:tblCellMar>
            <w:top w:w="0" w:type="dxa"/>
            <w:bottom w:w="0" w:type="dxa"/>
          </w:tblCellMar>
        </w:tblPrEx>
        <w:trPr>
          <w:cantSplit/>
          <w:trHeight w:val="560"/>
        </w:trPr>
        <w:tc>
          <w:tcPr>
            <w:tcW w:w="700" w:type="dxa"/>
            <w:tcMar>
              <w:top w:w="0" w:type="dxa"/>
              <w:bottom w:w="0" w:type="dxa"/>
            </w:tcMar>
            <w:vAlign w:val="center"/>
          </w:tcPr>
          <w:p w14:paraId="7AE0D6C0" w14:textId="77777777" w:rsidR="004156D6" w:rsidRDefault="00000000">
            <w:pPr>
              <w:keepNext/>
              <w:keepLines/>
              <w:spacing w:after="0" w:line="240" w:lineRule="auto"/>
            </w:pPr>
            <w:r>
              <w:rPr>
                <w:sz w:val="18"/>
              </w:rPr>
              <w:t>dio 24</w:t>
            </w:r>
          </w:p>
        </w:tc>
        <w:tc>
          <w:tcPr>
            <w:tcW w:w="3180" w:type="dxa"/>
            <w:tcMar>
              <w:top w:w="0" w:type="dxa"/>
              <w:bottom w:w="0" w:type="dxa"/>
            </w:tcMar>
            <w:vAlign w:val="center"/>
          </w:tcPr>
          <w:p w14:paraId="1E9B8142" w14:textId="77777777" w:rsidR="004156D6" w:rsidRDefault="00000000">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4EBA7E0B" w14:textId="77777777" w:rsidR="004156D6" w:rsidRDefault="00000000">
            <w:pPr>
              <w:keepNext/>
              <w:keepLines/>
              <w:spacing w:after="0" w:line="240" w:lineRule="auto"/>
            </w:pPr>
            <w:r>
              <w:rPr>
                <w:sz w:val="18"/>
              </w:rPr>
              <w:t>dio 24 N</w:t>
            </w:r>
          </w:p>
        </w:tc>
        <w:tc>
          <w:tcPr>
            <w:tcW w:w="1860" w:type="dxa"/>
            <w:tcMar>
              <w:top w:w="0" w:type="dxa"/>
              <w:bottom w:w="0" w:type="dxa"/>
            </w:tcMar>
            <w:vAlign w:val="center"/>
          </w:tcPr>
          <w:p w14:paraId="63824742" w14:textId="77777777" w:rsidR="004156D6" w:rsidRDefault="00000000">
            <w:pPr>
              <w:keepNext/>
              <w:keepLines/>
              <w:spacing w:after="0" w:line="240" w:lineRule="auto"/>
              <w:jc w:val="right"/>
            </w:pPr>
            <w:r>
              <w:rPr>
                <w:sz w:val="18"/>
              </w:rPr>
              <w:t>5.068,75</w:t>
            </w:r>
          </w:p>
        </w:tc>
        <w:tc>
          <w:tcPr>
            <w:tcW w:w="1860" w:type="dxa"/>
            <w:tcMar>
              <w:top w:w="0" w:type="dxa"/>
              <w:bottom w:w="0" w:type="dxa"/>
            </w:tcMar>
            <w:vAlign w:val="center"/>
          </w:tcPr>
          <w:p w14:paraId="17F491F6" w14:textId="77777777" w:rsidR="004156D6" w:rsidRDefault="00000000">
            <w:pPr>
              <w:keepNext/>
              <w:keepLines/>
              <w:spacing w:after="0" w:line="240" w:lineRule="auto"/>
              <w:jc w:val="right"/>
            </w:pPr>
            <w:r>
              <w:rPr>
                <w:sz w:val="18"/>
              </w:rPr>
              <w:t>7.624,99</w:t>
            </w:r>
          </w:p>
        </w:tc>
        <w:tc>
          <w:tcPr>
            <w:tcW w:w="700" w:type="dxa"/>
            <w:tcMar>
              <w:top w:w="0" w:type="dxa"/>
              <w:bottom w:w="0" w:type="dxa"/>
            </w:tcMar>
            <w:vAlign w:val="center"/>
          </w:tcPr>
          <w:p w14:paraId="1C903BD3" w14:textId="77777777" w:rsidR="004156D6" w:rsidRDefault="00000000">
            <w:pPr>
              <w:keepNext/>
              <w:keepLines/>
              <w:spacing w:after="0" w:line="240" w:lineRule="auto"/>
              <w:jc w:val="right"/>
            </w:pPr>
            <w:r>
              <w:rPr>
                <w:sz w:val="18"/>
              </w:rPr>
              <w:t>150,4</w:t>
            </w:r>
          </w:p>
        </w:tc>
      </w:tr>
    </w:tbl>
    <w:p w14:paraId="7B78686B" w14:textId="77777777" w:rsidR="004156D6" w:rsidRDefault="004156D6">
      <w:pPr>
        <w:spacing w:after="0"/>
      </w:pPr>
    </w:p>
    <w:p w14:paraId="554ABB58" w14:textId="77777777" w:rsidR="004156D6" w:rsidRDefault="00000000">
      <w:r>
        <w:t>Povećanje od 50,4% odnosi se na nabavu nefinancijske imovine za projekt Stalni postav Muzeja i projekt Energetska obnova Muzeja.</w:t>
      </w:r>
    </w:p>
    <w:p w14:paraId="2F01FD28" w14:textId="77777777" w:rsidR="004156D6" w:rsidRDefault="004156D6"/>
    <w:p w14:paraId="7A59A75E" w14:textId="77777777" w:rsidR="004156D6"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06A039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76B80F"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7FFB7A"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DF63F8"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0AE31B"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AB75D9E"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8F7C4B" w14:textId="77777777" w:rsidR="004156D6" w:rsidRDefault="00000000">
            <w:pPr>
              <w:keepNext/>
              <w:keepLines/>
              <w:spacing w:after="0" w:line="240" w:lineRule="auto"/>
              <w:jc w:val="center"/>
            </w:pPr>
            <w:r>
              <w:rPr>
                <w:b/>
                <w:sz w:val="18"/>
              </w:rPr>
              <w:t>Indeks (%)</w:t>
            </w:r>
          </w:p>
        </w:tc>
      </w:tr>
      <w:tr w:rsidR="004156D6" w14:paraId="71CA9AB9" w14:textId="77777777">
        <w:tblPrEx>
          <w:tblCellMar>
            <w:top w:w="0" w:type="dxa"/>
            <w:bottom w:w="0" w:type="dxa"/>
          </w:tblCellMar>
        </w:tblPrEx>
        <w:trPr>
          <w:cantSplit/>
          <w:trHeight w:val="560"/>
        </w:trPr>
        <w:tc>
          <w:tcPr>
            <w:tcW w:w="700" w:type="dxa"/>
            <w:tcMar>
              <w:top w:w="0" w:type="dxa"/>
              <w:bottom w:w="0" w:type="dxa"/>
            </w:tcMar>
            <w:vAlign w:val="center"/>
          </w:tcPr>
          <w:p w14:paraId="4BD8AD59" w14:textId="77777777" w:rsidR="004156D6" w:rsidRDefault="00000000">
            <w:pPr>
              <w:keepNext/>
              <w:keepLines/>
              <w:spacing w:after="0" w:line="240" w:lineRule="auto"/>
            </w:pPr>
            <w:r>
              <w:rPr>
                <w:sz w:val="18"/>
              </w:rPr>
              <w:t>27521</w:t>
            </w:r>
          </w:p>
        </w:tc>
        <w:tc>
          <w:tcPr>
            <w:tcW w:w="3180" w:type="dxa"/>
            <w:tcMar>
              <w:top w:w="0" w:type="dxa"/>
              <w:bottom w:w="0" w:type="dxa"/>
            </w:tcMar>
            <w:vAlign w:val="center"/>
          </w:tcPr>
          <w:p w14:paraId="527F15E8" w14:textId="77777777" w:rsidR="004156D6" w:rsidRDefault="00000000">
            <w:pPr>
              <w:keepNext/>
              <w:keepLines/>
              <w:spacing w:after="0" w:line="240" w:lineRule="auto"/>
            </w:pPr>
            <w:r>
              <w:rPr>
                <w:sz w:val="18"/>
              </w:rPr>
              <w:t>Obveze za EU predujmove dane iz državnog proračuna</w:t>
            </w:r>
          </w:p>
        </w:tc>
        <w:tc>
          <w:tcPr>
            <w:tcW w:w="700" w:type="dxa"/>
            <w:tcMar>
              <w:top w:w="0" w:type="dxa"/>
              <w:bottom w:w="0" w:type="dxa"/>
            </w:tcMar>
            <w:vAlign w:val="center"/>
          </w:tcPr>
          <w:p w14:paraId="707858AB" w14:textId="77777777" w:rsidR="004156D6" w:rsidRDefault="00000000">
            <w:pPr>
              <w:keepNext/>
              <w:keepLines/>
              <w:spacing w:after="0" w:line="240" w:lineRule="auto"/>
            </w:pPr>
            <w:r>
              <w:rPr>
                <w:sz w:val="18"/>
              </w:rPr>
              <w:t>27521</w:t>
            </w:r>
          </w:p>
        </w:tc>
        <w:tc>
          <w:tcPr>
            <w:tcW w:w="1860" w:type="dxa"/>
            <w:tcMar>
              <w:top w:w="0" w:type="dxa"/>
              <w:bottom w:w="0" w:type="dxa"/>
            </w:tcMar>
            <w:vAlign w:val="center"/>
          </w:tcPr>
          <w:p w14:paraId="53EE8DD5" w14:textId="77777777" w:rsidR="004156D6" w:rsidRDefault="00000000">
            <w:pPr>
              <w:keepNext/>
              <w:keepLines/>
              <w:spacing w:after="0" w:line="240" w:lineRule="auto"/>
              <w:jc w:val="right"/>
            </w:pPr>
            <w:r>
              <w:rPr>
                <w:sz w:val="18"/>
              </w:rPr>
              <w:t>0,00</w:t>
            </w:r>
          </w:p>
        </w:tc>
        <w:tc>
          <w:tcPr>
            <w:tcW w:w="1860" w:type="dxa"/>
            <w:tcMar>
              <w:top w:w="0" w:type="dxa"/>
              <w:bottom w:w="0" w:type="dxa"/>
            </w:tcMar>
            <w:vAlign w:val="center"/>
          </w:tcPr>
          <w:p w14:paraId="01C40C02" w14:textId="77777777" w:rsidR="004156D6" w:rsidRDefault="00000000">
            <w:pPr>
              <w:keepNext/>
              <w:keepLines/>
              <w:spacing w:after="0" w:line="240" w:lineRule="auto"/>
              <w:jc w:val="right"/>
            </w:pPr>
            <w:r>
              <w:rPr>
                <w:sz w:val="18"/>
              </w:rPr>
              <w:t>265.458,52</w:t>
            </w:r>
          </w:p>
        </w:tc>
        <w:tc>
          <w:tcPr>
            <w:tcW w:w="700" w:type="dxa"/>
            <w:tcMar>
              <w:top w:w="0" w:type="dxa"/>
              <w:bottom w:w="0" w:type="dxa"/>
            </w:tcMar>
            <w:vAlign w:val="center"/>
          </w:tcPr>
          <w:p w14:paraId="590D6438" w14:textId="77777777" w:rsidR="004156D6" w:rsidRDefault="00000000">
            <w:pPr>
              <w:keepNext/>
              <w:keepLines/>
              <w:spacing w:after="0" w:line="240" w:lineRule="auto"/>
              <w:jc w:val="right"/>
            </w:pPr>
            <w:r>
              <w:rPr>
                <w:sz w:val="18"/>
              </w:rPr>
              <w:t>-</w:t>
            </w:r>
          </w:p>
        </w:tc>
      </w:tr>
    </w:tbl>
    <w:p w14:paraId="049EAF03" w14:textId="77777777" w:rsidR="004156D6" w:rsidRDefault="004156D6">
      <w:pPr>
        <w:spacing w:after="0"/>
      </w:pPr>
    </w:p>
    <w:p w14:paraId="56ACA6AF" w14:textId="77777777" w:rsidR="004156D6" w:rsidRDefault="00000000">
      <w:r>
        <w:lastRenderedPageBreak/>
        <w:t>U ovom izvještajnom razdoblju bilježimo obveze za primljene predujmove po projektu Energetska obnova Muzeja.</w:t>
      </w:r>
    </w:p>
    <w:p w14:paraId="388361F0" w14:textId="77777777" w:rsidR="004156D6" w:rsidRDefault="004156D6"/>
    <w:p w14:paraId="23511047" w14:textId="77777777" w:rsidR="004156D6"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3B2DE8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EA3055"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4D2416"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6E5FE6"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61B06E"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BA3670"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C755A8" w14:textId="77777777" w:rsidR="004156D6" w:rsidRDefault="00000000">
            <w:pPr>
              <w:keepNext/>
              <w:keepLines/>
              <w:spacing w:after="0" w:line="240" w:lineRule="auto"/>
              <w:jc w:val="center"/>
            </w:pPr>
            <w:r>
              <w:rPr>
                <w:b/>
                <w:sz w:val="18"/>
              </w:rPr>
              <w:t>Indeks (%)</w:t>
            </w:r>
          </w:p>
        </w:tc>
      </w:tr>
      <w:tr w:rsidR="004156D6" w14:paraId="66DEE6D5" w14:textId="77777777">
        <w:tblPrEx>
          <w:tblCellMar>
            <w:top w:w="0" w:type="dxa"/>
            <w:bottom w:w="0" w:type="dxa"/>
          </w:tblCellMar>
        </w:tblPrEx>
        <w:trPr>
          <w:cantSplit/>
          <w:trHeight w:val="560"/>
        </w:trPr>
        <w:tc>
          <w:tcPr>
            <w:tcW w:w="700" w:type="dxa"/>
            <w:tcMar>
              <w:top w:w="0" w:type="dxa"/>
              <w:bottom w:w="0" w:type="dxa"/>
            </w:tcMar>
            <w:vAlign w:val="center"/>
          </w:tcPr>
          <w:p w14:paraId="6B338709" w14:textId="77777777" w:rsidR="004156D6" w:rsidRDefault="00000000">
            <w:pPr>
              <w:keepNext/>
              <w:keepLines/>
              <w:spacing w:after="0" w:line="240" w:lineRule="auto"/>
            </w:pPr>
            <w:r>
              <w:rPr>
                <w:sz w:val="18"/>
              </w:rPr>
              <w:t>99641</w:t>
            </w:r>
          </w:p>
        </w:tc>
        <w:tc>
          <w:tcPr>
            <w:tcW w:w="3180" w:type="dxa"/>
            <w:tcMar>
              <w:top w:w="0" w:type="dxa"/>
              <w:bottom w:w="0" w:type="dxa"/>
            </w:tcMar>
            <w:vAlign w:val="center"/>
          </w:tcPr>
          <w:p w14:paraId="32D04F6B" w14:textId="77777777" w:rsidR="004156D6" w:rsidRDefault="00000000">
            <w:pPr>
              <w:keepNext/>
              <w:keepLines/>
              <w:spacing w:after="0" w:line="240" w:lineRule="auto"/>
            </w:pPr>
            <w:r>
              <w:rPr>
                <w:sz w:val="18"/>
              </w:rPr>
              <w:t>Instrumenti osiguranja plaćanja</w:t>
            </w:r>
          </w:p>
        </w:tc>
        <w:tc>
          <w:tcPr>
            <w:tcW w:w="700" w:type="dxa"/>
            <w:tcMar>
              <w:top w:w="0" w:type="dxa"/>
              <w:bottom w:w="0" w:type="dxa"/>
            </w:tcMar>
            <w:vAlign w:val="center"/>
          </w:tcPr>
          <w:p w14:paraId="7C838C1E" w14:textId="77777777" w:rsidR="004156D6" w:rsidRDefault="00000000">
            <w:pPr>
              <w:keepNext/>
              <w:keepLines/>
              <w:spacing w:after="0" w:line="240" w:lineRule="auto"/>
            </w:pPr>
            <w:r>
              <w:rPr>
                <w:sz w:val="18"/>
              </w:rPr>
              <w:t>99641</w:t>
            </w:r>
          </w:p>
        </w:tc>
        <w:tc>
          <w:tcPr>
            <w:tcW w:w="1860" w:type="dxa"/>
            <w:tcMar>
              <w:top w:w="0" w:type="dxa"/>
              <w:bottom w:w="0" w:type="dxa"/>
            </w:tcMar>
            <w:vAlign w:val="center"/>
          </w:tcPr>
          <w:p w14:paraId="5DA34957" w14:textId="77777777" w:rsidR="004156D6" w:rsidRDefault="00000000">
            <w:pPr>
              <w:keepNext/>
              <w:keepLines/>
              <w:spacing w:after="0" w:line="240" w:lineRule="auto"/>
              <w:jc w:val="right"/>
            </w:pPr>
            <w:r>
              <w:rPr>
                <w:sz w:val="18"/>
              </w:rPr>
              <w:t>19.272,28</w:t>
            </w:r>
          </w:p>
        </w:tc>
        <w:tc>
          <w:tcPr>
            <w:tcW w:w="1860" w:type="dxa"/>
            <w:tcMar>
              <w:top w:w="0" w:type="dxa"/>
              <w:bottom w:w="0" w:type="dxa"/>
            </w:tcMar>
            <w:vAlign w:val="center"/>
          </w:tcPr>
          <w:p w14:paraId="5C4184EA" w14:textId="77777777" w:rsidR="004156D6" w:rsidRDefault="00000000">
            <w:pPr>
              <w:keepNext/>
              <w:keepLines/>
              <w:spacing w:after="0" w:line="240" w:lineRule="auto"/>
              <w:jc w:val="right"/>
            </w:pPr>
            <w:r>
              <w:rPr>
                <w:sz w:val="18"/>
              </w:rPr>
              <w:t>281.461,09</w:t>
            </w:r>
          </w:p>
        </w:tc>
        <w:tc>
          <w:tcPr>
            <w:tcW w:w="700" w:type="dxa"/>
            <w:tcMar>
              <w:top w:w="0" w:type="dxa"/>
              <w:bottom w:w="0" w:type="dxa"/>
            </w:tcMar>
            <w:vAlign w:val="center"/>
          </w:tcPr>
          <w:p w14:paraId="5894FDF1" w14:textId="77777777" w:rsidR="004156D6" w:rsidRDefault="00000000">
            <w:pPr>
              <w:keepNext/>
              <w:keepLines/>
              <w:spacing w:after="0" w:line="240" w:lineRule="auto"/>
              <w:jc w:val="right"/>
            </w:pPr>
            <w:r>
              <w:rPr>
                <w:sz w:val="18"/>
              </w:rPr>
              <w:t>1460,4</w:t>
            </w:r>
          </w:p>
        </w:tc>
      </w:tr>
    </w:tbl>
    <w:p w14:paraId="104A62E2" w14:textId="77777777" w:rsidR="004156D6" w:rsidRDefault="004156D6">
      <w:pPr>
        <w:spacing w:after="0"/>
      </w:pPr>
    </w:p>
    <w:p w14:paraId="10C021FD" w14:textId="77777777" w:rsidR="004156D6" w:rsidRDefault="00000000">
      <w:r>
        <w:t>Povećanje od 1.360,4% u odnosu na prethodno izvještajno razdoblje odnosi se na zaprimljene zadužnice i garancije.</w:t>
      </w:r>
    </w:p>
    <w:p w14:paraId="35E4AEFE" w14:textId="77777777" w:rsidR="004156D6" w:rsidRDefault="00000000">
      <w:r>
        <w:t>Popis ugovornih odnosa koji uz ispunjenje određenih uvjeta mogu postati imovina:</w:t>
      </w:r>
    </w:p>
    <w:tbl>
      <w:tblPr>
        <w:tblStyle w:val="Reetkatablice"/>
        <w:tblW w:w="2439" w:type="pct"/>
        <w:tblLook w:val="04A0" w:firstRow="1" w:lastRow="0" w:firstColumn="1" w:lastColumn="0" w:noHBand="0" w:noVBand="1"/>
      </w:tblPr>
      <w:tblGrid>
        <w:gridCol w:w="1416"/>
        <w:gridCol w:w="1356"/>
        <w:gridCol w:w="1230"/>
        <w:gridCol w:w="1243"/>
        <w:gridCol w:w="1356"/>
      </w:tblGrid>
      <w:tr w:rsidR="004156D6" w14:paraId="7F0AA28B" w14:textId="77777777">
        <w:trPr>
          <w:trHeight w:val="1550"/>
        </w:trPr>
        <w:tc>
          <w:tcPr>
            <w:tcW w:w="999" w:type="pct"/>
            <w:vAlign w:val="center"/>
          </w:tcPr>
          <w:p w14:paraId="211A1613" w14:textId="77777777" w:rsidR="004156D6" w:rsidRDefault="00000000">
            <w:r>
              <w:t>Instrument osiguranja</w:t>
            </w:r>
          </w:p>
        </w:tc>
        <w:tc>
          <w:tcPr>
            <w:tcW w:w="999" w:type="pct"/>
            <w:vAlign w:val="center"/>
          </w:tcPr>
          <w:p w14:paraId="00CD9B8A" w14:textId="77777777" w:rsidR="004156D6" w:rsidRDefault="00000000">
            <w:r>
              <w:t>Iznos i datum primljenog jamstva</w:t>
            </w:r>
          </w:p>
        </w:tc>
        <w:tc>
          <w:tcPr>
            <w:tcW w:w="999" w:type="pct"/>
            <w:vAlign w:val="center"/>
          </w:tcPr>
          <w:p w14:paraId="6AD4BF4B" w14:textId="77777777" w:rsidR="004156D6" w:rsidRDefault="00000000">
            <w:r>
              <w:t>Davatelj jamstva</w:t>
            </w:r>
          </w:p>
        </w:tc>
        <w:tc>
          <w:tcPr>
            <w:tcW w:w="999" w:type="pct"/>
            <w:vAlign w:val="center"/>
          </w:tcPr>
          <w:p w14:paraId="7EBB88FE" w14:textId="77777777" w:rsidR="004156D6" w:rsidRDefault="00000000">
            <w:r>
              <w:t>Namjena</w:t>
            </w:r>
          </w:p>
        </w:tc>
        <w:tc>
          <w:tcPr>
            <w:tcW w:w="1000" w:type="pct"/>
            <w:vAlign w:val="center"/>
          </w:tcPr>
          <w:p w14:paraId="7B838177" w14:textId="77777777" w:rsidR="004156D6" w:rsidRDefault="00000000">
            <w:r>
              <w:t>Rok važenja</w:t>
            </w:r>
          </w:p>
        </w:tc>
      </w:tr>
      <w:tr w:rsidR="004156D6" w14:paraId="32798148" w14:textId="77777777">
        <w:trPr>
          <w:trHeight w:val="1598"/>
        </w:trPr>
        <w:tc>
          <w:tcPr>
            <w:tcW w:w="999" w:type="pct"/>
            <w:vAlign w:val="center"/>
          </w:tcPr>
          <w:p w14:paraId="560AB97D" w14:textId="77777777" w:rsidR="004156D6" w:rsidRDefault="00000000">
            <w:r>
              <w:t>Zadužnica OV-4382/13</w:t>
            </w:r>
          </w:p>
        </w:tc>
        <w:tc>
          <w:tcPr>
            <w:tcW w:w="999" w:type="pct"/>
            <w:vAlign w:val="center"/>
          </w:tcPr>
          <w:p w14:paraId="747AC826" w14:textId="77777777" w:rsidR="004156D6" w:rsidRDefault="00000000">
            <w:r>
              <w:t>13.272,28</w:t>
            </w:r>
          </w:p>
          <w:p w14:paraId="255D4E8C" w14:textId="77777777" w:rsidR="004156D6" w:rsidRDefault="00000000">
            <w:r>
              <w:t>13.05.2013.</w:t>
            </w:r>
          </w:p>
        </w:tc>
        <w:tc>
          <w:tcPr>
            <w:tcW w:w="999" w:type="pct"/>
            <w:vAlign w:val="center"/>
          </w:tcPr>
          <w:p w14:paraId="079B0457" w14:textId="77777777" w:rsidR="004156D6" w:rsidRDefault="00000000">
            <w:r>
              <w:t xml:space="preserve">U.O. </w:t>
            </w:r>
            <w:proofErr w:type="spellStart"/>
            <w:r>
              <w:t>Moca</w:t>
            </w:r>
            <w:proofErr w:type="spellEnd"/>
          </w:p>
        </w:tc>
        <w:tc>
          <w:tcPr>
            <w:tcW w:w="999" w:type="pct"/>
            <w:vAlign w:val="center"/>
          </w:tcPr>
          <w:p w14:paraId="610228EA" w14:textId="77777777" w:rsidR="004156D6" w:rsidRDefault="00000000">
            <w:r>
              <w:t>Zakupnina</w:t>
            </w:r>
          </w:p>
        </w:tc>
        <w:tc>
          <w:tcPr>
            <w:tcW w:w="1000" w:type="pct"/>
            <w:vAlign w:val="center"/>
          </w:tcPr>
          <w:p w14:paraId="2AE87266" w14:textId="77777777" w:rsidR="004156D6" w:rsidRDefault="00000000">
            <w:r>
              <w:t>Nema</w:t>
            </w:r>
          </w:p>
        </w:tc>
      </w:tr>
      <w:tr w:rsidR="004156D6" w14:paraId="3AA762D9" w14:textId="77777777">
        <w:trPr>
          <w:trHeight w:val="1703"/>
        </w:trPr>
        <w:tc>
          <w:tcPr>
            <w:tcW w:w="999" w:type="pct"/>
            <w:vAlign w:val="center"/>
          </w:tcPr>
          <w:p w14:paraId="7A6172E8" w14:textId="77777777" w:rsidR="004156D6" w:rsidRDefault="00000000">
            <w:r>
              <w:t>Garancija br. 5402509992</w:t>
            </w:r>
          </w:p>
        </w:tc>
        <w:tc>
          <w:tcPr>
            <w:tcW w:w="999" w:type="pct"/>
            <w:vAlign w:val="center"/>
          </w:tcPr>
          <w:p w14:paraId="078220A0" w14:textId="77777777" w:rsidR="004156D6" w:rsidRDefault="00000000">
            <w:r>
              <w:t>98.188,81</w:t>
            </w:r>
          </w:p>
          <w:p w14:paraId="262A54CC" w14:textId="77777777" w:rsidR="004156D6" w:rsidRDefault="00000000">
            <w:r>
              <w:t>24.09.2025.</w:t>
            </w:r>
          </w:p>
        </w:tc>
        <w:tc>
          <w:tcPr>
            <w:tcW w:w="999" w:type="pct"/>
            <w:vAlign w:val="center"/>
          </w:tcPr>
          <w:p w14:paraId="4103D234" w14:textId="77777777" w:rsidR="004156D6" w:rsidRDefault="00000000">
            <w:proofErr w:type="spellStart"/>
            <w:r>
              <w:t>Elektrolux</w:t>
            </w:r>
            <w:proofErr w:type="spellEnd"/>
            <w:r>
              <w:t xml:space="preserve"> građenje d.o.o.</w:t>
            </w:r>
          </w:p>
        </w:tc>
        <w:tc>
          <w:tcPr>
            <w:tcW w:w="999" w:type="pct"/>
            <w:vAlign w:val="center"/>
          </w:tcPr>
          <w:p w14:paraId="4AA3E24B" w14:textId="77777777" w:rsidR="004156D6" w:rsidRDefault="00000000">
            <w:r>
              <w:t>Jamstvo za uredno ispunjenje ugovora</w:t>
            </w:r>
          </w:p>
        </w:tc>
        <w:tc>
          <w:tcPr>
            <w:tcW w:w="1000" w:type="pct"/>
            <w:vAlign w:val="center"/>
          </w:tcPr>
          <w:p w14:paraId="0C2D2314" w14:textId="77777777" w:rsidR="004156D6" w:rsidRDefault="00000000">
            <w:r>
              <w:t>30.06.2026.</w:t>
            </w:r>
          </w:p>
        </w:tc>
      </w:tr>
      <w:tr w:rsidR="004156D6" w14:paraId="26AB5711" w14:textId="77777777">
        <w:trPr>
          <w:trHeight w:val="542"/>
        </w:trPr>
        <w:tc>
          <w:tcPr>
            <w:tcW w:w="999" w:type="pct"/>
            <w:vAlign w:val="center"/>
          </w:tcPr>
          <w:p w14:paraId="4287FB98" w14:textId="77777777" w:rsidR="004156D6" w:rsidRDefault="00000000">
            <w:r>
              <w:t>Zadužnica OV-18749/2025</w:t>
            </w:r>
          </w:p>
        </w:tc>
        <w:tc>
          <w:tcPr>
            <w:tcW w:w="999" w:type="pct"/>
            <w:vAlign w:val="center"/>
          </w:tcPr>
          <w:p w14:paraId="75CBCB1C" w14:textId="77777777" w:rsidR="004156D6" w:rsidRDefault="00000000">
            <w:r>
              <w:t>20.000,00</w:t>
            </w:r>
          </w:p>
          <w:p w14:paraId="263BE9A9" w14:textId="77777777" w:rsidR="004156D6" w:rsidRDefault="00000000">
            <w:r>
              <w:t>30.07.2025.</w:t>
            </w:r>
          </w:p>
        </w:tc>
        <w:tc>
          <w:tcPr>
            <w:tcW w:w="999" w:type="pct"/>
            <w:vAlign w:val="center"/>
          </w:tcPr>
          <w:p w14:paraId="637FAEDE" w14:textId="77777777" w:rsidR="004156D6" w:rsidRDefault="00000000">
            <w:r>
              <w:t>AVC d.o.o.</w:t>
            </w:r>
          </w:p>
        </w:tc>
        <w:tc>
          <w:tcPr>
            <w:tcW w:w="999" w:type="pct"/>
            <w:vAlign w:val="center"/>
          </w:tcPr>
          <w:p w14:paraId="34645683" w14:textId="77777777" w:rsidR="004156D6" w:rsidRDefault="00000000">
            <w:r>
              <w:t>Jamstvo za uredno ispunjenje ugovora</w:t>
            </w:r>
          </w:p>
        </w:tc>
        <w:tc>
          <w:tcPr>
            <w:tcW w:w="1000" w:type="pct"/>
            <w:vAlign w:val="center"/>
          </w:tcPr>
          <w:p w14:paraId="0857AD98" w14:textId="77777777" w:rsidR="004156D6" w:rsidRDefault="00000000">
            <w:r>
              <w:t>18.09.2026.</w:t>
            </w:r>
          </w:p>
        </w:tc>
      </w:tr>
      <w:tr w:rsidR="004156D6" w14:paraId="74DFAEBF" w14:textId="77777777">
        <w:trPr>
          <w:trHeight w:val="542"/>
        </w:trPr>
        <w:tc>
          <w:tcPr>
            <w:tcW w:w="999" w:type="pct"/>
            <w:vAlign w:val="center"/>
          </w:tcPr>
          <w:p w14:paraId="1637FF85" w14:textId="77777777" w:rsidR="004156D6" w:rsidRDefault="00000000">
            <w:r>
              <w:t>Zadužnica OV-2990/2023</w:t>
            </w:r>
          </w:p>
        </w:tc>
        <w:tc>
          <w:tcPr>
            <w:tcW w:w="999" w:type="pct"/>
            <w:vAlign w:val="center"/>
          </w:tcPr>
          <w:p w14:paraId="7D524AB5" w14:textId="77777777" w:rsidR="004156D6" w:rsidRDefault="00000000">
            <w:r>
              <w:t>150.000,00</w:t>
            </w:r>
          </w:p>
          <w:p w14:paraId="59090733" w14:textId="77777777" w:rsidR="004156D6" w:rsidRDefault="00000000">
            <w:r>
              <w:t>01.09.2023.</w:t>
            </w:r>
          </w:p>
        </w:tc>
        <w:tc>
          <w:tcPr>
            <w:tcW w:w="999" w:type="pct"/>
            <w:vAlign w:val="center"/>
          </w:tcPr>
          <w:p w14:paraId="4A661CB3" w14:textId="77777777" w:rsidR="004156D6" w:rsidRDefault="00000000">
            <w:r>
              <w:t>AVC d.o.o.</w:t>
            </w:r>
          </w:p>
        </w:tc>
        <w:tc>
          <w:tcPr>
            <w:tcW w:w="999" w:type="pct"/>
            <w:vAlign w:val="center"/>
          </w:tcPr>
          <w:p w14:paraId="4A67CB74" w14:textId="77777777" w:rsidR="004156D6" w:rsidRDefault="00000000">
            <w:r>
              <w:t>Garancija za ugradnju opreme</w:t>
            </w:r>
          </w:p>
        </w:tc>
        <w:tc>
          <w:tcPr>
            <w:tcW w:w="1000" w:type="pct"/>
            <w:vAlign w:val="center"/>
          </w:tcPr>
          <w:p w14:paraId="0AF50579" w14:textId="77777777" w:rsidR="004156D6" w:rsidRDefault="00000000">
            <w:r>
              <w:t>08.08.2026.</w:t>
            </w:r>
          </w:p>
        </w:tc>
      </w:tr>
    </w:tbl>
    <w:p w14:paraId="443FD3A4" w14:textId="77777777" w:rsidR="004156D6" w:rsidRDefault="00000000">
      <w:r>
        <w:t> </w:t>
      </w:r>
    </w:p>
    <w:p w14:paraId="5FA716F7" w14:textId="77777777" w:rsidR="004156D6" w:rsidRDefault="004156D6"/>
    <w:p w14:paraId="2828DA26" w14:textId="77777777" w:rsidR="004156D6" w:rsidRDefault="00000000">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59E268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45A42B"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B7E097"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2FA19A"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5752E2"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137BF1"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86D692" w14:textId="77777777" w:rsidR="004156D6" w:rsidRDefault="00000000">
            <w:pPr>
              <w:keepNext/>
              <w:keepLines/>
              <w:spacing w:after="0" w:line="240" w:lineRule="auto"/>
              <w:jc w:val="center"/>
            </w:pPr>
            <w:r>
              <w:rPr>
                <w:b/>
                <w:sz w:val="18"/>
              </w:rPr>
              <w:t>Indeks (%)</w:t>
            </w:r>
          </w:p>
        </w:tc>
      </w:tr>
      <w:tr w:rsidR="004156D6" w14:paraId="5B9CBD0E" w14:textId="77777777">
        <w:tblPrEx>
          <w:tblCellMar>
            <w:top w:w="0" w:type="dxa"/>
            <w:bottom w:w="0" w:type="dxa"/>
          </w:tblCellMar>
        </w:tblPrEx>
        <w:trPr>
          <w:cantSplit/>
          <w:trHeight w:val="560"/>
        </w:trPr>
        <w:tc>
          <w:tcPr>
            <w:tcW w:w="700" w:type="dxa"/>
            <w:tcMar>
              <w:top w:w="0" w:type="dxa"/>
              <w:bottom w:w="0" w:type="dxa"/>
            </w:tcMar>
            <w:vAlign w:val="center"/>
          </w:tcPr>
          <w:p w14:paraId="5DE2BCD3" w14:textId="77777777" w:rsidR="004156D6" w:rsidRDefault="00000000">
            <w:pPr>
              <w:keepNext/>
              <w:keepLines/>
              <w:spacing w:after="0" w:line="240" w:lineRule="auto"/>
            </w:pPr>
            <w:r>
              <w:rPr>
                <w:sz w:val="18"/>
              </w:rPr>
              <w:t>99651</w:t>
            </w:r>
          </w:p>
        </w:tc>
        <w:tc>
          <w:tcPr>
            <w:tcW w:w="3180" w:type="dxa"/>
            <w:tcMar>
              <w:top w:w="0" w:type="dxa"/>
              <w:bottom w:w="0" w:type="dxa"/>
            </w:tcMar>
            <w:vAlign w:val="center"/>
          </w:tcPr>
          <w:p w14:paraId="5E72E1B6" w14:textId="77777777" w:rsidR="004156D6" w:rsidRDefault="00000000">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7849F501" w14:textId="77777777" w:rsidR="004156D6" w:rsidRDefault="00000000">
            <w:pPr>
              <w:keepNext/>
              <w:keepLines/>
              <w:spacing w:after="0" w:line="240" w:lineRule="auto"/>
            </w:pPr>
            <w:r>
              <w:rPr>
                <w:sz w:val="18"/>
              </w:rPr>
              <w:t>99651</w:t>
            </w:r>
          </w:p>
        </w:tc>
        <w:tc>
          <w:tcPr>
            <w:tcW w:w="1860" w:type="dxa"/>
            <w:tcMar>
              <w:top w:w="0" w:type="dxa"/>
              <w:bottom w:w="0" w:type="dxa"/>
            </w:tcMar>
            <w:vAlign w:val="center"/>
          </w:tcPr>
          <w:p w14:paraId="48492B29" w14:textId="77777777" w:rsidR="004156D6" w:rsidRDefault="00000000">
            <w:pPr>
              <w:keepNext/>
              <w:keepLines/>
              <w:spacing w:after="0" w:line="240" w:lineRule="auto"/>
              <w:jc w:val="right"/>
            </w:pPr>
            <w:r>
              <w:rPr>
                <w:sz w:val="18"/>
              </w:rPr>
              <w:t>0,00</w:t>
            </w:r>
          </w:p>
        </w:tc>
        <w:tc>
          <w:tcPr>
            <w:tcW w:w="1860" w:type="dxa"/>
            <w:tcMar>
              <w:top w:w="0" w:type="dxa"/>
              <w:bottom w:w="0" w:type="dxa"/>
            </w:tcMar>
            <w:vAlign w:val="center"/>
          </w:tcPr>
          <w:p w14:paraId="3A09B137" w14:textId="77777777" w:rsidR="004156D6" w:rsidRDefault="00000000">
            <w:pPr>
              <w:keepNext/>
              <w:keepLines/>
              <w:spacing w:after="0" w:line="240" w:lineRule="auto"/>
              <w:jc w:val="right"/>
            </w:pPr>
            <w:r>
              <w:rPr>
                <w:sz w:val="18"/>
              </w:rPr>
              <w:t>0,00</w:t>
            </w:r>
          </w:p>
        </w:tc>
        <w:tc>
          <w:tcPr>
            <w:tcW w:w="700" w:type="dxa"/>
            <w:tcMar>
              <w:top w:w="0" w:type="dxa"/>
              <w:bottom w:w="0" w:type="dxa"/>
            </w:tcMar>
            <w:vAlign w:val="center"/>
          </w:tcPr>
          <w:p w14:paraId="20E06559" w14:textId="77777777" w:rsidR="004156D6" w:rsidRDefault="00000000">
            <w:pPr>
              <w:keepNext/>
              <w:keepLines/>
              <w:spacing w:after="0" w:line="240" w:lineRule="auto"/>
              <w:jc w:val="right"/>
            </w:pPr>
            <w:r>
              <w:rPr>
                <w:sz w:val="18"/>
              </w:rPr>
              <w:t>-</w:t>
            </w:r>
          </w:p>
        </w:tc>
      </w:tr>
    </w:tbl>
    <w:p w14:paraId="270DA4FE" w14:textId="77777777" w:rsidR="004156D6" w:rsidRDefault="004156D6">
      <w:pPr>
        <w:spacing w:after="0"/>
      </w:pPr>
    </w:p>
    <w:p w14:paraId="517F751F" w14:textId="77777777" w:rsidR="004156D6" w:rsidRDefault="00000000">
      <w:r>
        <w:t>Muzej grada Šibenika nema sudske sporove u tijeku.</w:t>
      </w:r>
    </w:p>
    <w:p w14:paraId="21BCFFBA" w14:textId="77777777" w:rsidR="004156D6" w:rsidRDefault="004156D6"/>
    <w:p w14:paraId="6AAB57C3" w14:textId="77777777" w:rsidR="004156D6"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533747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52C1D6"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E2FB18"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C7A515"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14D68B"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5776A03"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2AD4ED" w14:textId="77777777" w:rsidR="004156D6" w:rsidRDefault="00000000">
            <w:pPr>
              <w:keepNext/>
              <w:keepLines/>
              <w:spacing w:after="0" w:line="240" w:lineRule="auto"/>
              <w:jc w:val="center"/>
            </w:pPr>
            <w:r>
              <w:rPr>
                <w:b/>
                <w:sz w:val="18"/>
              </w:rPr>
              <w:t>Indeks (%)</w:t>
            </w:r>
          </w:p>
        </w:tc>
      </w:tr>
      <w:tr w:rsidR="004156D6" w14:paraId="5BA1D822" w14:textId="77777777">
        <w:tblPrEx>
          <w:tblCellMar>
            <w:top w:w="0" w:type="dxa"/>
            <w:bottom w:w="0" w:type="dxa"/>
          </w:tblCellMar>
        </w:tblPrEx>
        <w:trPr>
          <w:cantSplit/>
          <w:trHeight w:val="560"/>
        </w:trPr>
        <w:tc>
          <w:tcPr>
            <w:tcW w:w="700" w:type="dxa"/>
            <w:tcMar>
              <w:top w:w="0" w:type="dxa"/>
              <w:bottom w:w="0" w:type="dxa"/>
            </w:tcMar>
            <w:vAlign w:val="center"/>
          </w:tcPr>
          <w:p w14:paraId="0AC9D2FF" w14:textId="77777777" w:rsidR="004156D6" w:rsidRDefault="00000000">
            <w:pPr>
              <w:keepNext/>
              <w:keepLines/>
              <w:spacing w:after="0" w:line="240" w:lineRule="auto"/>
            </w:pPr>
            <w:r>
              <w:rPr>
                <w:sz w:val="18"/>
              </w:rPr>
              <w:t>99652</w:t>
            </w:r>
          </w:p>
        </w:tc>
        <w:tc>
          <w:tcPr>
            <w:tcW w:w="3180" w:type="dxa"/>
            <w:tcMar>
              <w:top w:w="0" w:type="dxa"/>
              <w:bottom w:w="0" w:type="dxa"/>
            </w:tcMar>
            <w:vAlign w:val="center"/>
          </w:tcPr>
          <w:p w14:paraId="7BB04677" w14:textId="77777777" w:rsidR="004156D6" w:rsidRDefault="00000000">
            <w:pPr>
              <w:keepNext/>
              <w:keepLines/>
              <w:spacing w:after="0" w:line="240" w:lineRule="auto"/>
            </w:pPr>
            <w:r>
              <w:rPr>
                <w:sz w:val="18"/>
              </w:rPr>
              <w:t>Preuzete obveze po ugovorima o nabavi roba, radova i usluga</w:t>
            </w:r>
          </w:p>
        </w:tc>
        <w:tc>
          <w:tcPr>
            <w:tcW w:w="700" w:type="dxa"/>
            <w:tcMar>
              <w:top w:w="0" w:type="dxa"/>
              <w:bottom w:w="0" w:type="dxa"/>
            </w:tcMar>
            <w:vAlign w:val="center"/>
          </w:tcPr>
          <w:p w14:paraId="348C4E86" w14:textId="77777777" w:rsidR="004156D6" w:rsidRDefault="00000000">
            <w:pPr>
              <w:keepNext/>
              <w:keepLines/>
              <w:spacing w:after="0" w:line="240" w:lineRule="auto"/>
            </w:pPr>
            <w:r>
              <w:rPr>
                <w:sz w:val="18"/>
              </w:rPr>
              <w:t>99652</w:t>
            </w:r>
          </w:p>
        </w:tc>
        <w:tc>
          <w:tcPr>
            <w:tcW w:w="1860" w:type="dxa"/>
            <w:tcMar>
              <w:top w:w="0" w:type="dxa"/>
              <w:bottom w:w="0" w:type="dxa"/>
            </w:tcMar>
            <w:vAlign w:val="center"/>
          </w:tcPr>
          <w:p w14:paraId="05AD37EF" w14:textId="77777777" w:rsidR="004156D6" w:rsidRDefault="00000000">
            <w:pPr>
              <w:keepNext/>
              <w:keepLines/>
              <w:spacing w:after="0" w:line="240" w:lineRule="auto"/>
              <w:jc w:val="right"/>
            </w:pPr>
            <w:r>
              <w:rPr>
                <w:sz w:val="18"/>
              </w:rPr>
              <w:t>0,00</w:t>
            </w:r>
          </w:p>
        </w:tc>
        <w:tc>
          <w:tcPr>
            <w:tcW w:w="1860" w:type="dxa"/>
            <w:tcMar>
              <w:top w:w="0" w:type="dxa"/>
              <w:bottom w:w="0" w:type="dxa"/>
            </w:tcMar>
            <w:vAlign w:val="center"/>
          </w:tcPr>
          <w:p w14:paraId="614789B7" w14:textId="77777777" w:rsidR="004156D6" w:rsidRDefault="00000000">
            <w:pPr>
              <w:keepNext/>
              <w:keepLines/>
              <w:spacing w:after="0" w:line="240" w:lineRule="auto"/>
              <w:jc w:val="right"/>
            </w:pPr>
            <w:r>
              <w:rPr>
                <w:sz w:val="18"/>
              </w:rPr>
              <w:t>1.054.989,59</w:t>
            </w:r>
          </w:p>
        </w:tc>
        <w:tc>
          <w:tcPr>
            <w:tcW w:w="700" w:type="dxa"/>
            <w:tcMar>
              <w:top w:w="0" w:type="dxa"/>
              <w:bottom w:w="0" w:type="dxa"/>
            </w:tcMar>
            <w:vAlign w:val="center"/>
          </w:tcPr>
          <w:p w14:paraId="107B0CAC" w14:textId="77777777" w:rsidR="004156D6" w:rsidRDefault="00000000">
            <w:pPr>
              <w:keepNext/>
              <w:keepLines/>
              <w:spacing w:after="0" w:line="240" w:lineRule="auto"/>
              <w:jc w:val="right"/>
            </w:pPr>
            <w:r>
              <w:rPr>
                <w:sz w:val="18"/>
              </w:rPr>
              <w:t>-</w:t>
            </w:r>
          </w:p>
        </w:tc>
      </w:tr>
    </w:tbl>
    <w:p w14:paraId="6AED6C49" w14:textId="77777777" w:rsidR="004156D6" w:rsidRDefault="004156D6">
      <w:pPr>
        <w:spacing w:after="0"/>
      </w:pPr>
    </w:p>
    <w:p w14:paraId="316027DA" w14:textId="77777777" w:rsidR="004156D6" w:rsidRDefault="00000000">
      <w:proofErr w:type="spellStart"/>
      <w:r>
        <w:t>Izvanbilančno</w:t>
      </w:r>
      <w:proofErr w:type="spellEnd"/>
      <w:r>
        <w:t xml:space="preserve"> se evidentiraju preuzete obveze po ugovorima o nabavi roba, radova i usluga osim ugovora za redovito poslovanje koji nastaju  kontinuirano.</w:t>
      </w:r>
    </w:p>
    <w:p w14:paraId="50E5AF6F" w14:textId="77777777" w:rsidR="004156D6" w:rsidRDefault="00000000">
      <w:r>
        <w:t>Popis ugovornih odnosa koji uz ispunjenje određenih uvjeta mogu postati obveza:</w:t>
      </w:r>
    </w:p>
    <w:tbl>
      <w:tblPr>
        <w:tblStyle w:val="Reetkatablice"/>
        <w:tblW w:w="2867" w:type="pct"/>
        <w:tblLook w:val="04A0" w:firstRow="1" w:lastRow="0" w:firstColumn="1" w:lastColumn="0" w:noHBand="0" w:noVBand="1"/>
      </w:tblPr>
      <w:tblGrid>
        <w:gridCol w:w="1230"/>
        <w:gridCol w:w="1476"/>
        <w:gridCol w:w="1483"/>
        <w:gridCol w:w="1476"/>
      </w:tblGrid>
      <w:tr w:rsidR="004156D6" w14:paraId="1B327216" w14:textId="77777777">
        <w:trPr>
          <w:trHeight w:val="698"/>
        </w:trPr>
        <w:tc>
          <w:tcPr>
            <w:tcW w:w="1249" w:type="pct"/>
            <w:vAlign w:val="center"/>
          </w:tcPr>
          <w:p w14:paraId="16881BFB" w14:textId="77777777" w:rsidR="004156D6" w:rsidRDefault="00000000">
            <w:r>
              <w:t>Dobavljač</w:t>
            </w:r>
          </w:p>
        </w:tc>
        <w:tc>
          <w:tcPr>
            <w:tcW w:w="1249" w:type="pct"/>
            <w:vAlign w:val="center"/>
          </w:tcPr>
          <w:p w14:paraId="7EA619D0" w14:textId="77777777" w:rsidR="004156D6" w:rsidRDefault="00000000">
            <w:r>
              <w:t>Iznos ugovora</w:t>
            </w:r>
          </w:p>
        </w:tc>
        <w:tc>
          <w:tcPr>
            <w:tcW w:w="1249" w:type="pct"/>
            <w:vAlign w:val="center"/>
          </w:tcPr>
          <w:p w14:paraId="45393227" w14:textId="77777777" w:rsidR="004156D6" w:rsidRDefault="00000000">
            <w:r>
              <w:t>Predmet ugovora</w:t>
            </w:r>
          </w:p>
        </w:tc>
        <w:tc>
          <w:tcPr>
            <w:tcW w:w="1250" w:type="pct"/>
            <w:vAlign w:val="center"/>
          </w:tcPr>
          <w:p w14:paraId="3E45EA18" w14:textId="77777777" w:rsidR="004156D6" w:rsidRDefault="00000000">
            <w:proofErr w:type="spellStart"/>
            <w:r>
              <w:t>Osttak</w:t>
            </w:r>
            <w:proofErr w:type="spellEnd"/>
            <w:r>
              <w:t xml:space="preserve"> obveza po ugovoru</w:t>
            </w:r>
          </w:p>
        </w:tc>
      </w:tr>
      <w:tr w:rsidR="004156D6" w14:paraId="4BB12159" w14:textId="77777777">
        <w:trPr>
          <w:trHeight w:val="1886"/>
        </w:trPr>
        <w:tc>
          <w:tcPr>
            <w:tcW w:w="1249" w:type="pct"/>
            <w:vAlign w:val="center"/>
          </w:tcPr>
          <w:p w14:paraId="794F87E3" w14:textId="77777777" w:rsidR="004156D6" w:rsidRDefault="00000000">
            <w:proofErr w:type="spellStart"/>
            <w:r>
              <w:t>Statikon</w:t>
            </w:r>
            <w:proofErr w:type="spellEnd"/>
            <w:r>
              <w:t xml:space="preserve"> d.o.o.</w:t>
            </w:r>
          </w:p>
        </w:tc>
        <w:tc>
          <w:tcPr>
            <w:tcW w:w="1249" w:type="pct"/>
            <w:vAlign w:val="center"/>
          </w:tcPr>
          <w:p w14:paraId="7B1CFDC2" w14:textId="77777777" w:rsidR="004156D6" w:rsidRDefault="00000000">
            <w:r>
              <w:t>22.000,00</w:t>
            </w:r>
          </w:p>
        </w:tc>
        <w:tc>
          <w:tcPr>
            <w:tcW w:w="1249" w:type="pct"/>
            <w:vAlign w:val="center"/>
          </w:tcPr>
          <w:p w14:paraId="223FE3B4" w14:textId="77777777" w:rsidR="004156D6" w:rsidRDefault="00000000">
            <w:r>
              <w:t>Stručni nadzor građenja nad izvođenjem radova energetske obnove Muzeja</w:t>
            </w:r>
          </w:p>
        </w:tc>
        <w:tc>
          <w:tcPr>
            <w:tcW w:w="1250" w:type="pct"/>
            <w:vAlign w:val="center"/>
          </w:tcPr>
          <w:p w14:paraId="080F3D59" w14:textId="77777777" w:rsidR="004156D6" w:rsidRDefault="00000000">
            <w:r>
              <w:t>11.611,13</w:t>
            </w:r>
          </w:p>
        </w:tc>
      </w:tr>
      <w:tr w:rsidR="004156D6" w14:paraId="44571D71" w14:textId="77777777">
        <w:trPr>
          <w:trHeight w:val="1550"/>
        </w:trPr>
        <w:tc>
          <w:tcPr>
            <w:tcW w:w="1249" w:type="pct"/>
            <w:vAlign w:val="center"/>
          </w:tcPr>
          <w:p w14:paraId="65593F01" w14:textId="77777777" w:rsidR="004156D6" w:rsidRDefault="00000000">
            <w:proofErr w:type="spellStart"/>
            <w:r>
              <w:t>Altica</w:t>
            </w:r>
            <w:proofErr w:type="spellEnd"/>
            <w:r>
              <w:t xml:space="preserve"> d.o.o.</w:t>
            </w:r>
          </w:p>
        </w:tc>
        <w:tc>
          <w:tcPr>
            <w:tcW w:w="1249" w:type="pct"/>
            <w:vAlign w:val="center"/>
          </w:tcPr>
          <w:p w14:paraId="2BD2E3E1" w14:textId="77777777" w:rsidR="004156D6" w:rsidRDefault="00000000">
            <w:r>
              <w:t>4.562,50</w:t>
            </w:r>
          </w:p>
        </w:tc>
        <w:tc>
          <w:tcPr>
            <w:tcW w:w="1249" w:type="pct"/>
            <w:vAlign w:val="center"/>
          </w:tcPr>
          <w:p w14:paraId="547CF266" w14:textId="77777777" w:rsidR="004156D6" w:rsidRDefault="00000000">
            <w:r>
              <w:t>Usluge promidžbe i vidljivosti projekta Energetska obnova Muzeja</w:t>
            </w:r>
          </w:p>
        </w:tc>
        <w:tc>
          <w:tcPr>
            <w:tcW w:w="1250" w:type="pct"/>
            <w:vAlign w:val="center"/>
          </w:tcPr>
          <w:p w14:paraId="586C0DB7" w14:textId="77777777" w:rsidR="004156D6" w:rsidRDefault="00000000">
            <w:r>
              <w:t>1.250,00</w:t>
            </w:r>
          </w:p>
        </w:tc>
      </w:tr>
      <w:tr w:rsidR="004156D6" w14:paraId="11BD5C0D" w14:textId="77777777">
        <w:trPr>
          <w:trHeight w:val="542"/>
        </w:trPr>
        <w:tc>
          <w:tcPr>
            <w:tcW w:w="1249" w:type="pct"/>
            <w:vAlign w:val="center"/>
          </w:tcPr>
          <w:p w14:paraId="5D114A78" w14:textId="77777777" w:rsidR="004156D6" w:rsidRDefault="00000000">
            <w:proofErr w:type="spellStart"/>
            <w:r>
              <w:t>Elektrolux</w:t>
            </w:r>
            <w:proofErr w:type="spellEnd"/>
            <w:r>
              <w:t xml:space="preserve"> građenje d.o.o.</w:t>
            </w:r>
          </w:p>
        </w:tc>
        <w:tc>
          <w:tcPr>
            <w:tcW w:w="1249" w:type="pct"/>
            <w:vAlign w:val="center"/>
          </w:tcPr>
          <w:p w14:paraId="7B62D64D" w14:textId="77777777" w:rsidR="004156D6" w:rsidRDefault="00000000">
            <w:r>
              <w:t>1.227.360,15</w:t>
            </w:r>
          </w:p>
        </w:tc>
        <w:tc>
          <w:tcPr>
            <w:tcW w:w="1249" w:type="pct"/>
            <w:vAlign w:val="center"/>
          </w:tcPr>
          <w:p w14:paraId="19C439B7" w14:textId="77777777" w:rsidR="004156D6" w:rsidRDefault="00000000">
            <w:r>
              <w:t>Provedba energetske obnove Muzeja</w:t>
            </w:r>
          </w:p>
        </w:tc>
        <w:tc>
          <w:tcPr>
            <w:tcW w:w="1250" w:type="pct"/>
            <w:vAlign w:val="center"/>
          </w:tcPr>
          <w:p w14:paraId="17E6F122" w14:textId="77777777" w:rsidR="004156D6" w:rsidRDefault="00000000">
            <w:r>
              <w:t>1.035.228,46</w:t>
            </w:r>
          </w:p>
        </w:tc>
      </w:tr>
      <w:tr w:rsidR="004156D6" w14:paraId="342AFE1E" w14:textId="77777777">
        <w:trPr>
          <w:trHeight w:val="542"/>
        </w:trPr>
        <w:tc>
          <w:tcPr>
            <w:tcW w:w="1249" w:type="pct"/>
            <w:vAlign w:val="center"/>
          </w:tcPr>
          <w:p w14:paraId="28812921" w14:textId="77777777" w:rsidR="004156D6" w:rsidRDefault="00000000">
            <w:r>
              <w:t xml:space="preserve">Šibenik </w:t>
            </w:r>
            <w:proofErr w:type="spellStart"/>
            <w:r>
              <w:t>Kvartir</w:t>
            </w:r>
            <w:proofErr w:type="spellEnd"/>
            <w:r>
              <w:t xml:space="preserve"> </w:t>
            </w:r>
            <w:proofErr w:type="spellStart"/>
            <w:r>
              <w:t>j.d.o.o</w:t>
            </w:r>
            <w:proofErr w:type="spellEnd"/>
            <w:r>
              <w:t>.</w:t>
            </w:r>
          </w:p>
        </w:tc>
        <w:tc>
          <w:tcPr>
            <w:tcW w:w="1249" w:type="pct"/>
            <w:vAlign w:val="center"/>
          </w:tcPr>
          <w:p w14:paraId="7E13989F" w14:textId="77777777" w:rsidR="004156D6" w:rsidRDefault="00000000">
            <w:r>
              <w:t>8.900,00</w:t>
            </w:r>
          </w:p>
        </w:tc>
        <w:tc>
          <w:tcPr>
            <w:tcW w:w="1249" w:type="pct"/>
            <w:vAlign w:val="center"/>
          </w:tcPr>
          <w:p w14:paraId="50D31076" w14:textId="77777777" w:rsidR="004156D6" w:rsidRDefault="00000000">
            <w:r>
              <w:t>Projektantski nadzor na energetskoj obnovi Muzeja</w:t>
            </w:r>
          </w:p>
        </w:tc>
        <w:tc>
          <w:tcPr>
            <w:tcW w:w="1250" w:type="pct"/>
            <w:vAlign w:val="center"/>
          </w:tcPr>
          <w:p w14:paraId="4C2B4CB8" w14:textId="77777777" w:rsidR="004156D6" w:rsidRDefault="00000000">
            <w:r>
              <w:t>6.900,00</w:t>
            </w:r>
          </w:p>
        </w:tc>
      </w:tr>
    </w:tbl>
    <w:p w14:paraId="7063A57A" w14:textId="77777777" w:rsidR="004156D6" w:rsidRDefault="00000000">
      <w:r>
        <w:lastRenderedPageBreak/>
        <w:t> </w:t>
      </w:r>
    </w:p>
    <w:p w14:paraId="39D03EB2" w14:textId="77777777" w:rsidR="004156D6" w:rsidRDefault="004156D6"/>
    <w:p w14:paraId="0501F26F" w14:textId="77777777" w:rsidR="004156D6"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452DB1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BE2F8B"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32A935"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923B8E"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03A69A" w14:textId="77777777" w:rsidR="004156D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1B50FD" w14:textId="77777777" w:rsidR="004156D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FEDB3E" w14:textId="77777777" w:rsidR="004156D6" w:rsidRDefault="00000000">
            <w:pPr>
              <w:keepNext/>
              <w:keepLines/>
              <w:spacing w:after="0" w:line="240" w:lineRule="auto"/>
              <w:jc w:val="center"/>
            </w:pPr>
            <w:r>
              <w:rPr>
                <w:b/>
                <w:sz w:val="18"/>
              </w:rPr>
              <w:t>Indeks (%)</w:t>
            </w:r>
          </w:p>
        </w:tc>
      </w:tr>
      <w:tr w:rsidR="004156D6" w14:paraId="6001B3F5" w14:textId="77777777">
        <w:tblPrEx>
          <w:tblCellMar>
            <w:top w:w="0" w:type="dxa"/>
            <w:bottom w:w="0" w:type="dxa"/>
          </w:tblCellMar>
        </w:tblPrEx>
        <w:trPr>
          <w:cantSplit/>
          <w:trHeight w:val="560"/>
        </w:trPr>
        <w:tc>
          <w:tcPr>
            <w:tcW w:w="700" w:type="dxa"/>
            <w:tcMar>
              <w:top w:w="0" w:type="dxa"/>
              <w:bottom w:w="0" w:type="dxa"/>
            </w:tcMar>
            <w:vAlign w:val="center"/>
          </w:tcPr>
          <w:p w14:paraId="04FEEBB2" w14:textId="77777777" w:rsidR="004156D6" w:rsidRDefault="00000000">
            <w:pPr>
              <w:keepNext/>
              <w:keepLines/>
              <w:spacing w:after="0" w:line="240" w:lineRule="auto"/>
            </w:pPr>
            <w:r>
              <w:rPr>
                <w:sz w:val="18"/>
              </w:rPr>
              <w:t>99671</w:t>
            </w:r>
          </w:p>
        </w:tc>
        <w:tc>
          <w:tcPr>
            <w:tcW w:w="3180" w:type="dxa"/>
            <w:tcMar>
              <w:top w:w="0" w:type="dxa"/>
              <w:bottom w:w="0" w:type="dxa"/>
            </w:tcMar>
            <w:vAlign w:val="center"/>
          </w:tcPr>
          <w:p w14:paraId="42A4B2A0" w14:textId="77777777" w:rsidR="004156D6" w:rsidRDefault="00000000">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43658F59" w14:textId="77777777" w:rsidR="004156D6" w:rsidRDefault="00000000">
            <w:pPr>
              <w:keepNext/>
              <w:keepLines/>
              <w:spacing w:after="0" w:line="240" w:lineRule="auto"/>
            </w:pPr>
            <w:r>
              <w:rPr>
                <w:sz w:val="18"/>
              </w:rPr>
              <w:t>99671</w:t>
            </w:r>
          </w:p>
        </w:tc>
        <w:tc>
          <w:tcPr>
            <w:tcW w:w="1860" w:type="dxa"/>
            <w:tcMar>
              <w:top w:w="0" w:type="dxa"/>
              <w:bottom w:w="0" w:type="dxa"/>
            </w:tcMar>
            <w:vAlign w:val="center"/>
          </w:tcPr>
          <w:p w14:paraId="2A392066" w14:textId="77777777" w:rsidR="004156D6" w:rsidRDefault="00000000">
            <w:pPr>
              <w:keepNext/>
              <w:keepLines/>
              <w:spacing w:after="0" w:line="240" w:lineRule="auto"/>
              <w:jc w:val="right"/>
            </w:pPr>
            <w:r>
              <w:rPr>
                <w:sz w:val="18"/>
              </w:rPr>
              <w:t>0,00</w:t>
            </w:r>
          </w:p>
        </w:tc>
        <w:tc>
          <w:tcPr>
            <w:tcW w:w="1860" w:type="dxa"/>
            <w:tcMar>
              <w:top w:w="0" w:type="dxa"/>
              <w:bottom w:w="0" w:type="dxa"/>
            </w:tcMar>
            <w:vAlign w:val="center"/>
          </w:tcPr>
          <w:p w14:paraId="6C9CC570" w14:textId="77777777" w:rsidR="004156D6" w:rsidRDefault="00000000">
            <w:pPr>
              <w:keepNext/>
              <w:keepLines/>
              <w:spacing w:after="0" w:line="240" w:lineRule="auto"/>
              <w:jc w:val="right"/>
            </w:pPr>
            <w:r>
              <w:rPr>
                <w:sz w:val="18"/>
              </w:rPr>
              <w:t>1.332.109,49</w:t>
            </w:r>
          </w:p>
        </w:tc>
        <w:tc>
          <w:tcPr>
            <w:tcW w:w="700" w:type="dxa"/>
            <w:tcMar>
              <w:top w:w="0" w:type="dxa"/>
              <w:bottom w:w="0" w:type="dxa"/>
            </w:tcMar>
            <w:vAlign w:val="center"/>
          </w:tcPr>
          <w:p w14:paraId="554F5877" w14:textId="77777777" w:rsidR="004156D6" w:rsidRDefault="00000000">
            <w:pPr>
              <w:keepNext/>
              <w:keepLines/>
              <w:spacing w:after="0" w:line="240" w:lineRule="auto"/>
              <w:jc w:val="right"/>
            </w:pPr>
            <w:r>
              <w:rPr>
                <w:sz w:val="18"/>
              </w:rPr>
              <w:t>-</w:t>
            </w:r>
          </w:p>
        </w:tc>
      </w:tr>
    </w:tbl>
    <w:p w14:paraId="3C6198F8" w14:textId="77777777" w:rsidR="004156D6" w:rsidRDefault="004156D6">
      <w:pPr>
        <w:spacing w:after="0"/>
      </w:pPr>
    </w:p>
    <w:p w14:paraId="07362934" w14:textId="77777777" w:rsidR="004156D6" w:rsidRDefault="00000000">
      <w:proofErr w:type="spellStart"/>
      <w:r>
        <w:t>Izvanbilančno</w:t>
      </w:r>
      <w:proofErr w:type="spellEnd"/>
      <w:r>
        <w:t xml:space="preserve"> se evidentiraju i potraživanja po ugovorima o dodijeljenim bespovratnim sredstvima.</w:t>
      </w:r>
    </w:p>
    <w:tbl>
      <w:tblPr>
        <w:tblStyle w:val="Reetkatablice"/>
        <w:tblW w:w="2672" w:type="pct"/>
        <w:tblLook w:val="04A0" w:firstRow="1" w:lastRow="0" w:firstColumn="1" w:lastColumn="0" w:noHBand="0" w:noVBand="1"/>
      </w:tblPr>
      <w:tblGrid>
        <w:gridCol w:w="1630"/>
        <w:gridCol w:w="1349"/>
        <w:gridCol w:w="1476"/>
        <w:gridCol w:w="1456"/>
        <w:gridCol w:w="1476"/>
      </w:tblGrid>
      <w:tr w:rsidR="004156D6" w14:paraId="55B86BF8" w14:textId="77777777">
        <w:trPr>
          <w:trHeight w:val="512"/>
        </w:trPr>
        <w:tc>
          <w:tcPr>
            <w:tcW w:w="999" w:type="pct"/>
            <w:vAlign w:val="center"/>
          </w:tcPr>
          <w:p w14:paraId="43D771D4" w14:textId="77777777" w:rsidR="004156D6" w:rsidRDefault="00000000">
            <w:r>
              <w:t>Broj ugovora</w:t>
            </w:r>
          </w:p>
        </w:tc>
        <w:tc>
          <w:tcPr>
            <w:tcW w:w="999" w:type="pct"/>
            <w:vAlign w:val="center"/>
          </w:tcPr>
          <w:p w14:paraId="3B36A5DC" w14:textId="77777777" w:rsidR="004156D6" w:rsidRDefault="00000000">
            <w:r>
              <w:t> EU fond</w:t>
            </w:r>
          </w:p>
        </w:tc>
        <w:tc>
          <w:tcPr>
            <w:tcW w:w="999" w:type="pct"/>
            <w:vAlign w:val="center"/>
          </w:tcPr>
          <w:p w14:paraId="3A85CC94" w14:textId="77777777" w:rsidR="004156D6" w:rsidRDefault="00000000">
            <w:r>
              <w:t>Iznos ugovora</w:t>
            </w:r>
          </w:p>
        </w:tc>
        <w:tc>
          <w:tcPr>
            <w:tcW w:w="999" w:type="pct"/>
            <w:vAlign w:val="center"/>
          </w:tcPr>
          <w:p w14:paraId="3A061392" w14:textId="77777777" w:rsidR="004156D6" w:rsidRDefault="00000000">
            <w:r>
              <w:t>Predmet ugovora</w:t>
            </w:r>
          </w:p>
        </w:tc>
        <w:tc>
          <w:tcPr>
            <w:tcW w:w="1000" w:type="pct"/>
            <w:vAlign w:val="center"/>
          </w:tcPr>
          <w:p w14:paraId="16299EA9" w14:textId="77777777" w:rsidR="004156D6" w:rsidRDefault="00000000">
            <w:r>
              <w:t>Ostatak potraživanja po ugovoru</w:t>
            </w:r>
          </w:p>
        </w:tc>
      </w:tr>
      <w:tr w:rsidR="004156D6" w14:paraId="622CD851" w14:textId="77777777">
        <w:tc>
          <w:tcPr>
            <w:tcW w:w="999" w:type="pct"/>
            <w:vAlign w:val="center"/>
          </w:tcPr>
          <w:p w14:paraId="1F12FA3D" w14:textId="77777777" w:rsidR="004156D6" w:rsidRDefault="00000000">
            <w:r>
              <w:t>NPOO.C6.R1-13.01.0052</w:t>
            </w:r>
          </w:p>
        </w:tc>
        <w:tc>
          <w:tcPr>
            <w:tcW w:w="999" w:type="pct"/>
            <w:vAlign w:val="center"/>
          </w:tcPr>
          <w:p w14:paraId="3616B447" w14:textId="77777777" w:rsidR="004156D6" w:rsidRDefault="00000000">
            <w:r>
              <w:t>Mehanizam za oporavak i otpornost</w:t>
            </w:r>
          </w:p>
        </w:tc>
        <w:tc>
          <w:tcPr>
            <w:tcW w:w="999" w:type="pct"/>
            <w:vAlign w:val="center"/>
          </w:tcPr>
          <w:p w14:paraId="200ED186" w14:textId="77777777" w:rsidR="004156D6" w:rsidRDefault="00000000">
            <w:r>
              <w:t>1.369.728,29</w:t>
            </w:r>
          </w:p>
        </w:tc>
        <w:tc>
          <w:tcPr>
            <w:tcW w:w="999" w:type="pct"/>
            <w:vAlign w:val="center"/>
          </w:tcPr>
          <w:p w14:paraId="7388D153" w14:textId="77777777" w:rsidR="004156D6" w:rsidRDefault="00000000">
            <w:r>
              <w:t>Ugovor o dodjeli bespovratnih sredstava-Energetska obnova Muzeja grada Šibenika</w:t>
            </w:r>
          </w:p>
        </w:tc>
        <w:tc>
          <w:tcPr>
            <w:tcW w:w="1000" w:type="pct"/>
            <w:vAlign w:val="center"/>
          </w:tcPr>
          <w:p w14:paraId="62D36093" w14:textId="77777777" w:rsidR="004156D6" w:rsidRDefault="00000000">
            <w:r>
              <w:t>1.332.109,49</w:t>
            </w:r>
          </w:p>
        </w:tc>
      </w:tr>
    </w:tbl>
    <w:p w14:paraId="6D73915C" w14:textId="77777777" w:rsidR="004156D6" w:rsidRDefault="00000000">
      <w:r>
        <w:t> </w:t>
      </w:r>
    </w:p>
    <w:p w14:paraId="059C72E2" w14:textId="77777777" w:rsidR="004156D6" w:rsidRDefault="004156D6"/>
    <w:p w14:paraId="5DEFF056" w14:textId="77777777" w:rsidR="004156D6" w:rsidRDefault="00000000">
      <w:pPr>
        <w:keepNext/>
        <w:spacing w:line="240" w:lineRule="auto"/>
        <w:jc w:val="center"/>
      </w:pPr>
      <w:r>
        <w:rPr>
          <w:b/>
          <w:sz w:val="28"/>
        </w:rPr>
        <w:t>Izvještaj o rashodima prema funkcijskoj klasifikaciji</w:t>
      </w:r>
    </w:p>
    <w:p w14:paraId="58E401D6" w14:textId="77777777" w:rsidR="004156D6"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1A4236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274C7A"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ADC714"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BB0D2E"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F5590E" w14:textId="77777777" w:rsidR="004156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664287" w14:textId="77777777" w:rsidR="004156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132A15" w14:textId="77777777" w:rsidR="004156D6" w:rsidRDefault="00000000">
            <w:pPr>
              <w:keepNext/>
              <w:keepLines/>
              <w:spacing w:after="0" w:line="240" w:lineRule="auto"/>
              <w:jc w:val="center"/>
            </w:pPr>
            <w:r>
              <w:rPr>
                <w:b/>
                <w:sz w:val="18"/>
              </w:rPr>
              <w:t>Indeks (%)</w:t>
            </w:r>
          </w:p>
        </w:tc>
      </w:tr>
      <w:tr w:rsidR="004156D6" w14:paraId="4B82808A" w14:textId="77777777">
        <w:tblPrEx>
          <w:tblCellMar>
            <w:top w:w="0" w:type="dxa"/>
            <w:bottom w:w="0" w:type="dxa"/>
          </w:tblCellMar>
        </w:tblPrEx>
        <w:trPr>
          <w:cantSplit/>
          <w:trHeight w:val="560"/>
        </w:trPr>
        <w:tc>
          <w:tcPr>
            <w:tcW w:w="700" w:type="dxa"/>
            <w:tcMar>
              <w:top w:w="0" w:type="dxa"/>
              <w:bottom w:w="0" w:type="dxa"/>
            </w:tcMar>
            <w:vAlign w:val="center"/>
          </w:tcPr>
          <w:p w14:paraId="793E3CA0" w14:textId="77777777" w:rsidR="004156D6" w:rsidRDefault="00000000">
            <w:pPr>
              <w:keepNext/>
              <w:keepLines/>
              <w:spacing w:after="0" w:line="240" w:lineRule="auto"/>
            </w:pPr>
            <w:r>
              <w:rPr>
                <w:sz w:val="18"/>
              </w:rPr>
              <w:t>082</w:t>
            </w:r>
          </w:p>
        </w:tc>
        <w:tc>
          <w:tcPr>
            <w:tcW w:w="3180" w:type="dxa"/>
            <w:tcMar>
              <w:top w:w="0" w:type="dxa"/>
              <w:bottom w:w="0" w:type="dxa"/>
            </w:tcMar>
            <w:vAlign w:val="center"/>
          </w:tcPr>
          <w:p w14:paraId="63A8CF9E" w14:textId="77777777" w:rsidR="004156D6" w:rsidRDefault="00000000">
            <w:pPr>
              <w:keepNext/>
              <w:keepLines/>
              <w:spacing w:after="0" w:line="240" w:lineRule="auto"/>
            </w:pPr>
            <w:r>
              <w:rPr>
                <w:sz w:val="18"/>
              </w:rPr>
              <w:t>Službe kulture</w:t>
            </w:r>
          </w:p>
        </w:tc>
        <w:tc>
          <w:tcPr>
            <w:tcW w:w="700" w:type="dxa"/>
            <w:tcMar>
              <w:top w:w="0" w:type="dxa"/>
              <w:bottom w:w="0" w:type="dxa"/>
            </w:tcMar>
            <w:vAlign w:val="center"/>
          </w:tcPr>
          <w:p w14:paraId="5E31C639" w14:textId="77777777" w:rsidR="004156D6" w:rsidRDefault="00000000">
            <w:pPr>
              <w:keepNext/>
              <w:keepLines/>
              <w:spacing w:after="0" w:line="240" w:lineRule="auto"/>
            </w:pPr>
            <w:r>
              <w:rPr>
                <w:sz w:val="18"/>
              </w:rPr>
              <w:t>082</w:t>
            </w:r>
          </w:p>
        </w:tc>
        <w:tc>
          <w:tcPr>
            <w:tcW w:w="1860" w:type="dxa"/>
            <w:tcMar>
              <w:top w:w="0" w:type="dxa"/>
              <w:bottom w:w="0" w:type="dxa"/>
            </w:tcMar>
            <w:vAlign w:val="center"/>
          </w:tcPr>
          <w:p w14:paraId="368E7324" w14:textId="77777777" w:rsidR="004156D6" w:rsidRDefault="00000000">
            <w:pPr>
              <w:keepNext/>
              <w:keepLines/>
              <w:spacing w:after="0" w:line="240" w:lineRule="auto"/>
              <w:jc w:val="right"/>
            </w:pPr>
            <w:r>
              <w:rPr>
                <w:sz w:val="18"/>
              </w:rPr>
              <w:t>969.469,63</w:t>
            </w:r>
          </w:p>
        </w:tc>
        <w:tc>
          <w:tcPr>
            <w:tcW w:w="1860" w:type="dxa"/>
            <w:tcMar>
              <w:top w:w="0" w:type="dxa"/>
              <w:bottom w:w="0" w:type="dxa"/>
            </w:tcMar>
            <w:vAlign w:val="center"/>
          </w:tcPr>
          <w:p w14:paraId="11E3FE47" w14:textId="77777777" w:rsidR="004156D6" w:rsidRDefault="00000000">
            <w:pPr>
              <w:keepNext/>
              <w:keepLines/>
              <w:spacing w:after="0" w:line="240" w:lineRule="auto"/>
              <w:jc w:val="right"/>
            </w:pPr>
            <w:r>
              <w:rPr>
                <w:sz w:val="18"/>
              </w:rPr>
              <w:t>1.400.807,87</w:t>
            </w:r>
          </w:p>
        </w:tc>
        <w:tc>
          <w:tcPr>
            <w:tcW w:w="700" w:type="dxa"/>
            <w:tcMar>
              <w:top w:w="0" w:type="dxa"/>
              <w:bottom w:w="0" w:type="dxa"/>
            </w:tcMar>
            <w:vAlign w:val="center"/>
          </w:tcPr>
          <w:p w14:paraId="729EA73B" w14:textId="77777777" w:rsidR="004156D6" w:rsidRDefault="00000000">
            <w:pPr>
              <w:keepNext/>
              <w:keepLines/>
              <w:spacing w:after="0" w:line="240" w:lineRule="auto"/>
              <w:jc w:val="right"/>
            </w:pPr>
            <w:r>
              <w:rPr>
                <w:sz w:val="18"/>
              </w:rPr>
              <w:t>144,5</w:t>
            </w:r>
          </w:p>
        </w:tc>
      </w:tr>
    </w:tbl>
    <w:p w14:paraId="6889FC95" w14:textId="77777777" w:rsidR="004156D6" w:rsidRDefault="004156D6">
      <w:pPr>
        <w:spacing w:after="0"/>
      </w:pPr>
    </w:p>
    <w:p w14:paraId="10ABC0CA" w14:textId="77777777" w:rsidR="004156D6" w:rsidRDefault="00000000">
      <w:r>
        <w:t>Rashodi prema funkcijskoj klasifikaciji su veći za 44,5% u odnosu na prethodno izvještajno razdoblje. Ovom klasifikacijom obuhvaćeni su rashodi razreda 3 ( rashodi poslovanja) i razreda 4 (rashodi za nabavu nefinancijske imovine).</w:t>
      </w:r>
    </w:p>
    <w:p w14:paraId="280FC500" w14:textId="77777777" w:rsidR="004156D6" w:rsidRDefault="00000000">
      <w:r>
        <w:t>Službe kulture obuhvaćaju rashode funkcioniranja ili podrške funkcioniranju ustanovama koje pružaju kulturne usluge – knjižnice, muzeji, umjetničke galerije, kazališta, izložbeni prostori, spomenici, povijesne kuće i arheološka nalazišta, zoološki i botanički vrtovi, akvariji itd.</w:t>
      </w:r>
    </w:p>
    <w:p w14:paraId="00054CA6" w14:textId="77777777" w:rsidR="004156D6" w:rsidRDefault="004156D6"/>
    <w:p w14:paraId="665A1FE5" w14:textId="77777777" w:rsidR="004156D6" w:rsidRDefault="00000000">
      <w:pPr>
        <w:keepNext/>
        <w:spacing w:line="240" w:lineRule="auto"/>
        <w:jc w:val="center"/>
      </w:pPr>
      <w:r>
        <w:rPr>
          <w:b/>
          <w:sz w:val="28"/>
        </w:rPr>
        <w:lastRenderedPageBreak/>
        <w:t>Promjene u vrijednosti i obujmu imovine i obveza</w:t>
      </w:r>
    </w:p>
    <w:p w14:paraId="2A8678C0" w14:textId="77777777" w:rsidR="004156D6"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7EAC20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D315F3"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FDC798"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DEF486"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579E83" w14:textId="77777777" w:rsidR="004156D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168B54D" w14:textId="77777777" w:rsidR="004156D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8FFF6CF" w14:textId="77777777" w:rsidR="004156D6" w:rsidRDefault="00000000">
            <w:pPr>
              <w:keepNext/>
              <w:keepLines/>
              <w:spacing w:after="0" w:line="240" w:lineRule="auto"/>
              <w:jc w:val="center"/>
            </w:pPr>
            <w:r>
              <w:rPr>
                <w:b/>
                <w:sz w:val="18"/>
              </w:rPr>
              <w:t>Indeks (%)</w:t>
            </w:r>
          </w:p>
        </w:tc>
      </w:tr>
      <w:tr w:rsidR="004156D6" w14:paraId="23DB3F96" w14:textId="77777777">
        <w:tblPrEx>
          <w:tblCellMar>
            <w:top w:w="0" w:type="dxa"/>
            <w:bottom w:w="0" w:type="dxa"/>
          </w:tblCellMar>
        </w:tblPrEx>
        <w:trPr>
          <w:cantSplit/>
          <w:trHeight w:val="560"/>
        </w:trPr>
        <w:tc>
          <w:tcPr>
            <w:tcW w:w="700" w:type="dxa"/>
            <w:tcMar>
              <w:top w:w="0" w:type="dxa"/>
              <w:bottom w:w="0" w:type="dxa"/>
            </w:tcMar>
            <w:vAlign w:val="center"/>
          </w:tcPr>
          <w:p w14:paraId="2C6D16D2" w14:textId="77777777" w:rsidR="004156D6" w:rsidRDefault="00000000">
            <w:pPr>
              <w:keepNext/>
              <w:keepLines/>
              <w:spacing w:after="0" w:line="240" w:lineRule="auto"/>
            </w:pPr>
            <w:r>
              <w:rPr>
                <w:sz w:val="18"/>
              </w:rPr>
              <w:t>91511</w:t>
            </w:r>
          </w:p>
        </w:tc>
        <w:tc>
          <w:tcPr>
            <w:tcW w:w="3180" w:type="dxa"/>
            <w:tcMar>
              <w:top w:w="0" w:type="dxa"/>
              <w:bottom w:w="0" w:type="dxa"/>
            </w:tcMar>
            <w:vAlign w:val="center"/>
          </w:tcPr>
          <w:p w14:paraId="7011536C" w14:textId="77777777" w:rsidR="004156D6"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63BA4DF8" w14:textId="77777777" w:rsidR="004156D6" w:rsidRDefault="00000000">
            <w:pPr>
              <w:keepNext/>
              <w:keepLines/>
              <w:spacing w:after="0" w:line="240" w:lineRule="auto"/>
            </w:pPr>
            <w:r>
              <w:rPr>
                <w:sz w:val="18"/>
              </w:rPr>
              <w:t>91511</w:t>
            </w:r>
          </w:p>
        </w:tc>
        <w:tc>
          <w:tcPr>
            <w:tcW w:w="1860" w:type="dxa"/>
            <w:tcMar>
              <w:top w:w="0" w:type="dxa"/>
              <w:bottom w:w="0" w:type="dxa"/>
            </w:tcMar>
            <w:vAlign w:val="center"/>
          </w:tcPr>
          <w:p w14:paraId="7D4E071F" w14:textId="77777777" w:rsidR="004156D6" w:rsidRDefault="00000000">
            <w:pPr>
              <w:keepNext/>
              <w:keepLines/>
              <w:spacing w:after="0" w:line="240" w:lineRule="auto"/>
              <w:jc w:val="right"/>
            </w:pPr>
            <w:r>
              <w:rPr>
                <w:sz w:val="18"/>
              </w:rPr>
              <w:t>264.785,76</w:t>
            </w:r>
          </w:p>
        </w:tc>
        <w:tc>
          <w:tcPr>
            <w:tcW w:w="1860" w:type="dxa"/>
            <w:tcMar>
              <w:top w:w="0" w:type="dxa"/>
              <w:bottom w:w="0" w:type="dxa"/>
            </w:tcMar>
            <w:vAlign w:val="center"/>
          </w:tcPr>
          <w:p w14:paraId="35741CE9" w14:textId="77777777" w:rsidR="004156D6" w:rsidRDefault="00000000">
            <w:pPr>
              <w:keepNext/>
              <w:keepLines/>
              <w:spacing w:after="0" w:line="240" w:lineRule="auto"/>
              <w:jc w:val="right"/>
            </w:pPr>
            <w:r>
              <w:rPr>
                <w:sz w:val="18"/>
              </w:rPr>
              <w:t>0,00</w:t>
            </w:r>
          </w:p>
        </w:tc>
        <w:tc>
          <w:tcPr>
            <w:tcW w:w="700" w:type="dxa"/>
            <w:tcMar>
              <w:top w:w="0" w:type="dxa"/>
              <w:bottom w:w="0" w:type="dxa"/>
            </w:tcMar>
            <w:vAlign w:val="center"/>
          </w:tcPr>
          <w:p w14:paraId="4285D8CE" w14:textId="77777777" w:rsidR="004156D6" w:rsidRDefault="00000000">
            <w:pPr>
              <w:keepNext/>
              <w:keepLines/>
              <w:spacing w:after="0" w:line="240" w:lineRule="auto"/>
              <w:jc w:val="right"/>
            </w:pPr>
            <w:r>
              <w:rPr>
                <w:sz w:val="18"/>
              </w:rPr>
              <w:t>0</w:t>
            </w:r>
          </w:p>
        </w:tc>
      </w:tr>
    </w:tbl>
    <w:p w14:paraId="2D2334C9" w14:textId="77777777" w:rsidR="004156D6" w:rsidRDefault="004156D6">
      <w:pPr>
        <w:spacing w:after="0"/>
      </w:pPr>
    </w:p>
    <w:p w14:paraId="3AACCDF3" w14:textId="77777777" w:rsidR="004156D6" w:rsidRDefault="00000000">
      <w:r>
        <w:t>Povećanje vrijednosti imovine odnosi se na promjene nastale po godišnjem popisu imovine prema Odluci ravnatelja od 26.01.2026. godine koja se odnosi na ispravak evidencije dugotrajne imovine jer je programskom greškom proveden ispravak vrijednosti iako se radi o imovini u pripremi.</w:t>
      </w:r>
    </w:p>
    <w:p w14:paraId="1265AF55" w14:textId="77777777" w:rsidR="004156D6" w:rsidRDefault="004156D6"/>
    <w:p w14:paraId="6204115D" w14:textId="77777777" w:rsidR="004156D6"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56D6" w14:paraId="3640D9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1B138C"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C9B7E1"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9FFA4B"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51FAFE" w14:textId="77777777" w:rsidR="004156D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316C3C1" w14:textId="77777777" w:rsidR="004156D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B60A904" w14:textId="77777777" w:rsidR="004156D6" w:rsidRDefault="00000000">
            <w:pPr>
              <w:keepNext/>
              <w:keepLines/>
              <w:spacing w:after="0" w:line="240" w:lineRule="auto"/>
              <w:jc w:val="center"/>
            </w:pPr>
            <w:r>
              <w:rPr>
                <w:b/>
                <w:sz w:val="18"/>
              </w:rPr>
              <w:t>Indeks (%)</w:t>
            </w:r>
          </w:p>
        </w:tc>
      </w:tr>
      <w:tr w:rsidR="004156D6" w14:paraId="301CB6B3" w14:textId="77777777">
        <w:tblPrEx>
          <w:tblCellMar>
            <w:top w:w="0" w:type="dxa"/>
            <w:bottom w:w="0" w:type="dxa"/>
          </w:tblCellMar>
        </w:tblPrEx>
        <w:trPr>
          <w:cantSplit/>
          <w:trHeight w:val="560"/>
        </w:trPr>
        <w:tc>
          <w:tcPr>
            <w:tcW w:w="700" w:type="dxa"/>
            <w:tcMar>
              <w:top w:w="0" w:type="dxa"/>
              <w:bottom w:w="0" w:type="dxa"/>
            </w:tcMar>
            <w:vAlign w:val="center"/>
          </w:tcPr>
          <w:p w14:paraId="70E484D9" w14:textId="77777777" w:rsidR="004156D6" w:rsidRDefault="00000000">
            <w:pPr>
              <w:keepNext/>
              <w:keepLines/>
              <w:spacing w:after="0" w:line="240" w:lineRule="auto"/>
            </w:pPr>
            <w:r>
              <w:rPr>
                <w:sz w:val="18"/>
              </w:rPr>
              <w:t>91512</w:t>
            </w:r>
          </w:p>
        </w:tc>
        <w:tc>
          <w:tcPr>
            <w:tcW w:w="3180" w:type="dxa"/>
            <w:tcMar>
              <w:top w:w="0" w:type="dxa"/>
              <w:bottom w:w="0" w:type="dxa"/>
            </w:tcMar>
            <w:vAlign w:val="center"/>
          </w:tcPr>
          <w:p w14:paraId="09C95D04" w14:textId="77777777" w:rsidR="004156D6"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0D021063" w14:textId="77777777" w:rsidR="004156D6" w:rsidRDefault="00000000">
            <w:pPr>
              <w:keepNext/>
              <w:keepLines/>
              <w:spacing w:after="0" w:line="240" w:lineRule="auto"/>
            </w:pPr>
            <w:r>
              <w:rPr>
                <w:sz w:val="18"/>
              </w:rPr>
              <w:t>91512</w:t>
            </w:r>
          </w:p>
        </w:tc>
        <w:tc>
          <w:tcPr>
            <w:tcW w:w="1860" w:type="dxa"/>
            <w:tcMar>
              <w:top w:w="0" w:type="dxa"/>
              <w:bottom w:w="0" w:type="dxa"/>
            </w:tcMar>
            <w:vAlign w:val="center"/>
          </w:tcPr>
          <w:p w14:paraId="233B66B4" w14:textId="77777777" w:rsidR="004156D6" w:rsidRDefault="00000000">
            <w:pPr>
              <w:keepNext/>
              <w:keepLines/>
              <w:spacing w:after="0" w:line="240" w:lineRule="auto"/>
              <w:jc w:val="right"/>
            </w:pPr>
            <w:r>
              <w:rPr>
                <w:sz w:val="18"/>
              </w:rPr>
              <w:t>0,00</w:t>
            </w:r>
          </w:p>
        </w:tc>
        <w:tc>
          <w:tcPr>
            <w:tcW w:w="1860" w:type="dxa"/>
            <w:tcMar>
              <w:top w:w="0" w:type="dxa"/>
              <w:bottom w:w="0" w:type="dxa"/>
            </w:tcMar>
            <w:vAlign w:val="center"/>
          </w:tcPr>
          <w:p w14:paraId="38DFDED5" w14:textId="77777777" w:rsidR="004156D6" w:rsidRDefault="00000000">
            <w:pPr>
              <w:keepNext/>
              <w:keepLines/>
              <w:spacing w:after="0" w:line="240" w:lineRule="auto"/>
              <w:jc w:val="right"/>
            </w:pPr>
            <w:r>
              <w:rPr>
                <w:sz w:val="18"/>
              </w:rPr>
              <w:t>1.107,60</w:t>
            </w:r>
          </w:p>
        </w:tc>
        <w:tc>
          <w:tcPr>
            <w:tcW w:w="700" w:type="dxa"/>
            <w:tcMar>
              <w:top w:w="0" w:type="dxa"/>
              <w:bottom w:w="0" w:type="dxa"/>
            </w:tcMar>
            <w:vAlign w:val="center"/>
          </w:tcPr>
          <w:p w14:paraId="7F746A3E" w14:textId="77777777" w:rsidR="004156D6" w:rsidRDefault="00000000">
            <w:pPr>
              <w:keepNext/>
              <w:keepLines/>
              <w:spacing w:after="0" w:line="240" w:lineRule="auto"/>
              <w:jc w:val="right"/>
            </w:pPr>
            <w:r>
              <w:rPr>
                <w:sz w:val="18"/>
              </w:rPr>
              <w:t>-</w:t>
            </w:r>
          </w:p>
        </w:tc>
      </w:tr>
    </w:tbl>
    <w:p w14:paraId="5899B356" w14:textId="77777777" w:rsidR="004156D6" w:rsidRDefault="004156D6">
      <w:pPr>
        <w:spacing w:after="0"/>
      </w:pPr>
    </w:p>
    <w:p w14:paraId="1B81E0EE" w14:textId="77777777" w:rsidR="004156D6" w:rsidRDefault="00000000">
      <w:r>
        <w:t>Smanjenje obujma imovine vidljivo je na proizvedenoj dugotrajnoj imovini uslijed rashodovanja imovine tijekom godišnjeg popisa imovine.</w:t>
      </w:r>
    </w:p>
    <w:p w14:paraId="609ED982" w14:textId="77777777" w:rsidR="004156D6" w:rsidRDefault="004156D6"/>
    <w:p w14:paraId="490B4244" w14:textId="77777777" w:rsidR="004156D6" w:rsidRDefault="00000000">
      <w:pPr>
        <w:keepNext/>
        <w:spacing w:line="240" w:lineRule="auto"/>
        <w:jc w:val="center"/>
      </w:pPr>
      <w:r>
        <w:rPr>
          <w:b/>
          <w:sz w:val="28"/>
        </w:rPr>
        <w:t>Izvještaj o obvezama</w:t>
      </w:r>
    </w:p>
    <w:p w14:paraId="4FFA1613" w14:textId="77777777" w:rsidR="004156D6"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156D6" w14:paraId="401FED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2DBBE8"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8E876E"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EE39C2"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2ACD85" w14:textId="77777777" w:rsidR="004156D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21B65E0" w14:textId="77777777" w:rsidR="004156D6" w:rsidRDefault="00000000">
            <w:pPr>
              <w:keepNext/>
              <w:keepLines/>
              <w:spacing w:after="0" w:line="240" w:lineRule="auto"/>
              <w:jc w:val="center"/>
            </w:pPr>
            <w:r>
              <w:rPr>
                <w:b/>
                <w:sz w:val="18"/>
              </w:rPr>
              <w:t>Indeks (%)</w:t>
            </w:r>
          </w:p>
        </w:tc>
      </w:tr>
      <w:tr w:rsidR="004156D6" w14:paraId="625D9A29" w14:textId="77777777">
        <w:tblPrEx>
          <w:tblCellMar>
            <w:top w:w="0" w:type="dxa"/>
            <w:bottom w:w="0" w:type="dxa"/>
          </w:tblCellMar>
        </w:tblPrEx>
        <w:trPr>
          <w:cantSplit/>
          <w:trHeight w:val="560"/>
        </w:trPr>
        <w:tc>
          <w:tcPr>
            <w:tcW w:w="700" w:type="dxa"/>
            <w:tcMar>
              <w:top w:w="0" w:type="dxa"/>
              <w:bottom w:w="0" w:type="dxa"/>
            </w:tcMar>
            <w:vAlign w:val="center"/>
          </w:tcPr>
          <w:p w14:paraId="23F6CB94" w14:textId="77777777" w:rsidR="004156D6" w:rsidRDefault="004156D6">
            <w:pPr>
              <w:keepNext/>
              <w:keepLines/>
              <w:spacing w:after="0" w:line="240" w:lineRule="auto"/>
            </w:pPr>
          </w:p>
        </w:tc>
        <w:tc>
          <w:tcPr>
            <w:tcW w:w="3180" w:type="dxa"/>
            <w:tcMar>
              <w:top w:w="0" w:type="dxa"/>
              <w:bottom w:w="0" w:type="dxa"/>
            </w:tcMar>
            <w:vAlign w:val="center"/>
          </w:tcPr>
          <w:p w14:paraId="4DECAEA1" w14:textId="77777777" w:rsidR="004156D6"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0BF4235E" w14:textId="77777777" w:rsidR="004156D6" w:rsidRDefault="00000000">
            <w:pPr>
              <w:keepNext/>
              <w:keepLines/>
              <w:spacing w:after="0" w:line="240" w:lineRule="auto"/>
            </w:pPr>
            <w:r>
              <w:rPr>
                <w:sz w:val="18"/>
              </w:rPr>
              <w:t>V001</w:t>
            </w:r>
          </w:p>
        </w:tc>
        <w:tc>
          <w:tcPr>
            <w:tcW w:w="1860" w:type="dxa"/>
            <w:tcMar>
              <w:top w:w="0" w:type="dxa"/>
              <w:bottom w:w="0" w:type="dxa"/>
            </w:tcMar>
            <w:vAlign w:val="center"/>
          </w:tcPr>
          <w:p w14:paraId="2FFD8E90" w14:textId="77777777" w:rsidR="004156D6" w:rsidRDefault="00000000">
            <w:pPr>
              <w:keepNext/>
              <w:keepLines/>
              <w:spacing w:after="0" w:line="240" w:lineRule="auto"/>
              <w:jc w:val="right"/>
            </w:pPr>
            <w:r>
              <w:rPr>
                <w:sz w:val="18"/>
              </w:rPr>
              <w:t>64.734,85</w:t>
            </w:r>
          </w:p>
        </w:tc>
        <w:tc>
          <w:tcPr>
            <w:tcW w:w="700" w:type="dxa"/>
            <w:tcMar>
              <w:top w:w="0" w:type="dxa"/>
              <w:bottom w:w="0" w:type="dxa"/>
            </w:tcMar>
            <w:vAlign w:val="center"/>
          </w:tcPr>
          <w:p w14:paraId="2D52F3BE" w14:textId="77777777" w:rsidR="004156D6" w:rsidRDefault="00000000">
            <w:pPr>
              <w:keepNext/>
              <w:keepLines/>
              <w:spacing w:after="0" w:line="240" w:lineRule="auto"/>
              <w:jc w:val="right"/>
            </w:pPr>
            <w:r>
              <w:rPr>
                <w:sz w:val="18"/>
              </w:rPr>
              <w:t>-</w:t>
            </w:r>
          </w:p>
        </w:tc>
      </w:tr>
    </w:tbl>
    <w:p w14:paraId="3BF00471" w14:textId="77777777" w:rsidR="004156D6" w:rsidRDefault="004156D6">
      <w:pPr>
        <w:spacing w:after="0"/>
      </w:pPr>
    </w:p>
    <w:p w14:paraId="01E72BF6" w14:textId="77777777" w:rsidR="004156D6" w:rsidRDefault="00000000">
      <w:r>
        <w:t>Obveze na početku izvještajnog razdoblja iskazane su u iznosu od 64.734,85 eura.</w:t>
      </w:r>
    </w:p>
    <w:p w14:paraId="1C8E25BB" w14:textId="77777777" w:rsidR="004156D6" w:rsidRDefault="004156D6"/>
    <w:p w14:paraId="144A349B" w14:textId="77777777" w:rsidR="004156D6"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156D6" w14:paraId="53BBCD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D0D53A"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9117BE"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48AFAA"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87C5DA" w14:textId="77777777" w:rsidR="004156D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2BE25C6" w14:textId="77777777" w:rsidR="004156D6" w:rsidRDefault="00000000">
            <w:pPr>
              <w:keepNext/>
              <w:keepLines/>
              <w:spacing w:after="0" w:line="240" w:lineRule="auto"/>
              <w:jc w:val="center"/>
            </w:pPr>
            <w:r>
              <w:rPr>
                <w:b/>
                <w:sz w:val="18"/>
              </w:rPr>
              <w:t>Indeks (%)</w:t>
            </w:r>
          </w:p>
        </w:tc>
      </w:tr>
      <w:tr w:rsidR="004156D6" w14:paraId="3792E347" w14:textId="77777777">
        <w:tblPrEx>
          <w:tblCellMar>
            <w:top w:w="0" w:type="dxa"/>
            <w:bottom w:w="0" w:type="dxa"/>
          </w:tblCellMar>
        </w:tblPrEx>
        <w:trPr>
          <w:cantSplit/>
          <w:trHeight w:val="560"/>
        </w:trPr>
        <w:tc>
          <w:tcPr>
            <w:tcW w:w="700" w:type="dxa"/>
            <w:tcMar>
              <w:top w:w="0" w:type="dxa"/>
              <w:bottom w:w="0" w:type="dxa"/>
            </w:tcMar>
            <w:vAlign w:val="center"/>
          </w:tcPr>
          <w:p w14:paraId="66D25BFB" w14:textId="77777777" w:rsidR="004156D6" w:rsidRDefault="004156D6">
            <w:pPr>
              <w:keepNext/>
              <w:keepLines/>
              <w:spacing w:after="0" w:line="240" w:lineRule="auto"/>
            </w:pPr>
          </w:p>
        </w:tc>
        <w:tc>
          <w:tcPr>
            <w:tcW w:w="3180" w:type="dxa"/>
            <w:tcMar>
              <w:top w:w="0" w:type="dxa"/>
              <w:bottom w:w="0" w:type="dxa"/>
            </w:tcMar>
            <w:vAlign w:val="center"/>
          </w:tcPr>
          <w:p w14:paraId="2F1F935C" w14:textId="77777777" w:rsidR="004156D6"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69650ED4" w14:textId="77777777" w:rsidR="004156D6" w:rsidRDefault="00000000">
            <w:pPr>
              <w:keepNext/>
              <w:keepLines/>
              <w:spacing w:after="0" w:line="240" w:lineRule="auto"/>
            </w:pPr>
            <w:r>
              <w:rPr>
                <w:sz w:val="18"/>
              </w:rPr>
              <w:t>V006</w:t>
            </w:r>
          </w:p>
        </w:tc>
        <w:tc>
          <w:tcPr>
            <w:tcW w:w="1860" w:type="dxa"/>
            <w:tcMar>
              <w:top w:w="0" w:type="dxa"/>
              <w:bottom w:w="0" w:type="dxa"/>
            </w:tcMar>
            <w:vAlign w:val="center"/>
          </w:tcPr>
          <w:p w14:paraId="64F6D61F" w14:textId="77777777" w:rsidR="004156D6" w:rsidRDefault="00000000">
            <w:pPr>
              <w:keepNext/>
              <w:keepLines/>
              <w:spacing w:after="0" w:line="240" w:lineRule="auto"/>
              <w:jc w:val="right"/>
            </w:pPr>
            <w:r>
              <w:rPr>
                <w:sz w:val="18"/>
              </w:rPr>
              <w:t>346.084,97</w:t>
            </w:r>
          </w:p>
        </w:tc>
        <w:tc>
          <w:tcPr>
            <w:tcW w:w="700" w:type="dxa"/>
            <w:tcMar>
              <w:top w:w="0" w:type="dxa"/>
              <w:bottom w:w="0" w:type="dxa"/>
            </w:tcMar>
            <w:vAlign w:val="center"/>
          </w:tcPr>
          <w:p w14:paraId="6C814DCF" w14:textId="77777777" w:rsidR="004156D6" w:rsidRDefault="00000000">
            <w:pPr>
              <w:keepNext/>
              <w:keepLines/>
              <w:spacing w:after="0" w:line="240" w:lineRule="auto"/>
              <w:jc w:val="right"/>
            </w:pPr>
            <w:r>
              <w:rPr>
                <w:sz w:val="18"/>
              </w:rPr>
              <w:t>-</w:t>
            </w:r>
          </w:p>
        </w:tc>
      </w:tr>
    </w:tbl>
    <w:p w14:paraId="1925F5FC" w14:textId="77777777" w:rsidR="004156D6" w:rsidRDefault="004156D6">
      <w:pPr>
        <w:spacing w:after="0"/>
      </w:pPr>
    </w:p>
    <w:p w14:paraId="605A7A32" w14:textId="77777777" w:rsidR="004156D6" w:rsidRDefault="00000000">
      <w:r>
        <w:t>Stanje nepodmirenih obveza iznosi 346.084,97 eura. Nepodmirene obveze sastoje se od obveza za rashode poslovanja, obveza za nabavu nefinancijske imovine te međusobnih obveza subjekata općeg proračuna.</w:t>
      </w:r>
    </w:p>
    <w:p w14:paraId="0A0EAC1B" w14:textId="77777777" w:rsidR="004156D6" w:rsidRDefault="004156D6"/>
    <w:p w14:paraId="6FED3669" w14:textId="77777777" w:rsidR="004156D6"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156D6" w14:paraId="1CBE7F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4D5998"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731B60"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EDEECB"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EEAF13" w14:textId="77777777" w:rsidR="004156D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7BF30C4" w14:textId="77777777" w:rsidR="004156D6" w:rsidRDefault="00000000">
            <w:pPr>
              <w:keepNext/>
              <w:keepLines/>
              <w:spacing w:after="0" w:line="240" w:lineRule="auto"/>
              <w:jc w:val="center"/>
            </w:pPr>
            <w:r>
              <w:rPr>
                <w:b/>
                <w:sz w:val="18"/>
              </w:rPr>
              <w:t>Indeks (%)</w:t>
            </w:r>
          </w:p>
        </w:tc>
      </w:tr>
      <w:tr w:rsidR="004156D6" w14:paraId="07016587" w14:textId="77777777">
        <w:tblPrEx>
          <w:tblCellMar>
            <w:top w:w="0" w:type="dxa"/>
            <w:bottom w:w="0" w:type="dxa"/>
          </w:tblCellMar>
        </w:tblPrEx>
        <w:trPr>
          <w:cantSplit/>
          <w:trHeight w:val="560"/>
        </w:trPr>
        <w:tc>
          <w:tcPr>
            <w:tcW w:w="700" w:type="dxa"/>
            <w:tcMar>
              <w:top w:w="0" w:type="dxa"/>
              <w:bottom w:w="0" w:type="dxa"/>
            </w:tcMar>
            <w:vAlign w:val="center"/>
          </w:tcPr>
          <w:p w14:paraId="533DC3AB" w14:textId="77777777" w:rsidR="004156D6" w:rsidRDefault="004156D6">
            <w:pPr>
              <w:keepNext/>
              <w:keepLines/>
              <w:spacing w:after="0" w:line="240" w:lineRule="auto"/>
            </w:pPr>
          </w:p>
        </w:tc>
        <w:tc>
          <w:tcPr>
            <w:tcW w:w="3180" w:type="dxa"/>
            <w:tcMar>
              <w:top w:w="0" w:type="dxa"/>
              <w:bottom w:w="0" w:type="dxa"/>
            </w:tcMar>
            <w:vAlign w:val="center"/>
          </w:tcPr>
          <w:p w14:paraId="03884F8A" w14:textId="77777777" w:rsidR="004156D6"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F602180" w14:textId="77777777" w:rsidR="004156D6" w:rsidRDefault="00000000">
            <w:pPr>
              <w:keepNext/>
              <w:keepLines/>
              <w:spacing w:after="0" w:line="240" w:lineRule="auto"/>
            </w:pPr>
            <w:r>
              <w:rPr>
                <w:sz w:val="18"/>
              </w:rPr>
              <w:t>V007</w:t>
            </w:r>
          </w:p>
        </w:tc>
        <w:tc>
          <w:tcPr>
            <w:tcW w:w="1860" w:type="dxa"/>
            <w:tcMar>
              <w:top w:w="0" w:type="dxa"/>
              <w:bottom w:w="0" w:type="dxa"/>
            </w:tcMar>
            <w:vAlign w:val="center"/>
          </w:tcPr>
          <w:p w14:paraId="45F1E01A" w14:textId="77777777" w:rsidR="004156D6" w:rsidRDefault="00000000">
            <w:pPr>
              <w:keepNext/>
              <w:keepLines/>
              <w:spacing w:after="0" w:line="240" w:lineRule="auto"/>
              <w:jc w:val="right"/>
            </w:pPr>
            <w:r>
              <w:rPr>
                <w:sz w:val="18"/>
              </w:rPr>
              <w:t>13.720,50</w:t>
            </w:r>
          </w:p>
        </w:tc>
        <w:tc>
          <w:tcPr>
            <w:tcW w:w="700" w:type="dxa"/>
            <w:tcMar>
              <w:top w:w="0" w:type="dxa"/>
              <w:bottom w:w="0" w:type="dxa"/>
            </w:tcMar>
            <w:vAlign w:val="center"/>
          </w:tcPr>
          <w:p w14:paraId="6B2F0C8D" w14:textId="77777777" w:rsidR="004156D6" w:rsidRDefault="00000000">
            <w:pPr>
              <w:keepNext/>
              <w:keepLines/>
              <w:spacing w:after="0" w:line="240" w:lineRule="auto"/>
              <w:jc w:val="right"/>
            </w:pPr>
            <w:r>
              <w:rPr>
                <w:sz w:val="18"/>
              </w:rPr>
              <w:t>-</w:t>
            </w:r>
          </w:p>
        </w:tc>
      </w:tr>
    </w:tbl>
    <w:p w14:paraId="5BA09986" w14:textId="77777777" w:rsidR="004156D6" w:rsidRDefault="004156D6">
      <w:pPr>
        <w:spacing w:after="0"/>
      </w:pPr>
    </w:p>
    <w:p w14:paraId="3B2E8D56" w14:textId="77777777" w:rsidR="004156D6" w:rsidRDefault="00000000">
      <w:r>
        <w:t>Stanje dospjelih obveza na kraju izvještajnog razdoblja iznosi 13.720,50 eura, a odnose se na obveze za materijalne rashode i na obveze za nabavu nefinancijske imovine. Rok prekoračenja dospjelih obveza odnosi se na razdoblje od 1 do 60 dana. Plaćanje obveza provodi se u Riznici Grada Šibenika, a dinamika plaćanja obveza ovisi o dinamici naplate prihoda Grada Šibenika.</w:t>
      </w:r>
    </w:p>
    <w:p w14:paraId="03F0E60D" w14:textId="77777777" w:rsidR="004156D6" w:rsidRDefault="004156D6"/>
    <w:p w14:paraId="4BB630FA" w14:textId="77777777" w:rsidR="004156D6"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156D6" w14:paraId="310A4A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81BFC3"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A6669E"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BB9FE2"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F14479" w14:textId="77777777" w:rsidR="004156D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7DC7F3F" w14:textId="77777777" w:rsidR="004156D6" w:rsidRDefault="00000000">
            <w:pPr>
              <w:keepNext/>
              <w:keepLines/>
              <w:spacing w:after="0" w:line="240" w:lineRule="auto"/>
              <w:jc w:val="center"/>
            </w:pPr>
            <w:r>
              <w:rPr>
                <w:b/>
                <w:sz w:val="18"/>
              </w:rPr>
              <w:t>Indeks (%)</w:t>
            </w:r>
          </w:p>
        </w:tc>
      </w:tr>
      <w:tr w:rsidR="004156D6" w14:paraId="2F0F4F44" w14:textId="77777777">
        <w:tblPrEx>
          <w:tblCellMar>
            <w:top w:w="0" w:type="dxa"/>
            <w:bottom w:w="0" w:type="dxa"/>
          </w:tblCellMar>
        </w:tblPrEx>
        <w:trPr>
          <w:cantSplit/>
          <w:trHeight w:val="560"/>
        </w:trPr>
        <w:tc>
          <w:tcPr>
            <w:tcW w:w="700" w:type="dxa"/>
            <w:tcMar>
              <w:top w:w="0" w:type="dxa"/>
              <w:bottom w:w="0" w:type="dxa"/>
            </w:tcMar>
            <w:vAlign w:val="center"/>
          </w:tcPr>
          <w:p w14:paraId="72DC26E5" w14:textId="77777777" w:rsidR="004156D6" w:rsidRDefault="004156D6">
            <w:pPr>
              <w:keepNext/>
              <w:keepLines/>
              <w:spacing w:after="0" w:line="240" w:lineRule="auto"/>
            </w:pPr>
          </w:p>
        </w:tc>
        <w:tc>
          <w:tcPr>
            <w:tcW w:w="3180" w:type="dxa"/>
            <w:tcMar>
              <w:top w:w="0" w:type="dxa"/>
              <w:bottom w:w="0" w:type="dxa"/>
            </w:tcMar>
            <w:vAlign w:val="center"/>
          </w:tcPr>
          <w:p w14:paraId="02CD0732" w14:textId="77777777" w:rsidR="004156D6" w:rsidRDefault="00000000">
            <w:pPr>
              <w:keepNext/>
              <w:keepLines/>
              <w:spacing w:after="0" w:line="240" w:lineRule="auto"/>
            </w:pPr>
            <w:r>
              <w:rPr>
                <w:sz w:val="18"/>
              </w:rPr>
              <w:t>Međusobne obveze subjekata općeg proračuna (šifre M001 do M004)</w:t>
            </w:r>
          </w:p>
        </w:tc>
        <w:tc>
          <w:tcPr>
            <w:tcW w:w="700" w:type="dxa"/>
            <w:tcMar>
              <w:top w:w="0" w:type="dxa"/>
              <w:bottom w:w="0" w:type="dxa"/>
            </w:tcMar>
            <w:vAlign w:val="center"/>
          </w:tcPr>
          <w:p w14:paraId="0E99C124" w14:textId="77777777" w:rsidR="004156D6" w:rsidRDefault="00000000">
            <w:pPr>
              <w:keepNext/>
              <w:keepLines/>
              <w:spacing w:after="0" w:line="240" w:lineRule="auto"/>
            </w:pPr>
            <w:r>
              <w:rPr>
                <w:sz w:val="18"/>
              </w:rPr>
              <w:t>V008</w:t>
            </w:r>
          </w:p>
        </w:tc>
        <w:tc>
          <w:tcPr>
            <w:tcW w:w="1860" w:type="dxa"/>
            <w:tcMar>
              <w:top w:w="0" w:type="dxa"/>
              <w:bottom w:w="0" w:type="dxa"/>
            </w:tcMar>
            <w:vAlign w:val="center"/>
          </w:tcPr>
          <w:p w14:paraId="3B93297E" w14:textId="77777777" w:rsidR="004156D6" w:rsidRDefault="00000000">
            <w:pPr>
              <w:keepNext/>
              <w:keepLines/>
              <w:spacing w:after="0" w:line="240" w:lineRule="auto"/>
              <w:jc w:val="right"/>
            </w:pPr>
            <w:r>
              <w:rPr>
                <w:sz w:val="18"/>
              </w:rPr>
              <w:t>0,00</w:t>
            </w:r>
          </w:p>
        </w:tc>
        <w:tc>
          <w:tcPr>
            <w:tcW w:w="700" w:type="dxa"/>
            <w:tcMar>
              <w:top w:w="0" w:type="dxa"/>
              <w:bottom w:w="0" w:type="dxa"/>
            </w:tcMar>
            <w:vAlign w:val="center"/>
          </w:tcPr>
          <w:p w14:paraId="17ABA616" w14:textId="77777777" w:rsidR="004156D6" w:rsidRDefault="00000000">
            <w:pPr>
              <w:keepNext/>
              <w:keepLines/>
              <w:spacing w:after="0" w:line="240" w:lineRule="auto"/>
              <w:jc w:val="right"/>
            </w:pPr>
            <w:r>
              <w:rPr>
                <w:sz w:val="18"/>
              </w:rPr>
              <w:t>-</w:t>
            </w:r>
          </w:p>
        </w:tc>
      </w:tr>
    </w:tbl>
    <w:p w14:paraId="7960C329" w14:textId="77777777" w:rsidR="004156D6" w:rsidRDefault="004156D6">
      <w:pPr>
        <w:spacing w:after="0"/>
      </w:pPr>
    </w:p>
    <w:p w14:paraId="102BE579" w14:textId="77777777" w:rsidR="004156D6" w:rsidRDefault="00000000">
      <w:r>
        <w:t>Nema dospjelih obveza na kraju izvještajnog razdoblja između subjekata općeg proračuna.</w:t>
      </w:r>
    </w:p>
    <w:p w14:paraId="7F0F03E2" w14:textId="77777777" w:rsidR="004156D6" w:rsidRDefault="004156D6"/>
    <w:p w14:paraId="7E14E664" w14:textId="77777777" w:rsidR="004156D6"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156D6" w14:paraId="34A4D1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D77CBF"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D96CF4"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357DA5"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220BD7" w14:textId="77777777" w:rsidR="004156D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32D1C55" w14:textId="77777777" w:rsidR="004156D6" w:rsidRDefault="00000000">
            <w:pPr>
              <w:keepNext/>
              <w:keepLines/>
              <w:spacing w:after="0" w:line="240" w:lineRule="auto"/>
              <w:jc w:val="center"/>
            </w:pPr>
            <w:r>
              <w:rPr>
                <w:b/>
                <w:sz w:val="18"/>
              </w:rPr>
              <w:t>Indeks (%)</w:t>
            </w:r>
          </w:p>
        </w:tc>
      </w:tr>
      <w:tr w:rsidR="004156D6" w14:paraId="112BEB93" w14:textId="77777777">
        <w:tblPrEx>
          <w:tblCellMar>
            <w:top w:w="0" w:type="dxa"/>
            <w:bottom w:w="0" w:type="dxa"/>
          </w:tblCellMar>
        </w:tblPrEx>
        <w:trPr>
          <w:cantSplit/>
          <w:trHeight w:val="560"/>
        </w:trPr>
        <w:tc>
          <w:tcPr>
            <w:tcW w:w="700" w:type="dxa"/>
            <w:tcMar>
              <w:top w:w="0" w:type="dxa"/>
              <w:bottom w:w="0" w:type="dxa"/>
            </w:tcMar>
            <w:vAlign w:val="center"/>
          </w:tcPr>
          <w:p w14:paraId="32166443" w14:textId="77777777" w:rsidR="004156D6" w:rsidRDefault="004156D6">
            <w:pPr>
              <w:keepNext/>
              <w:keepLines/>
              <w:spacing w:after="0" w:line="240" w:lineRule="auto"/>
            </w:pPr>
          </w:p>
        </w:tc>
        <w:tc>
          <w:tcPr>
            <w:tcW w:w="3180" w:type="dxa"/>
            <w:tcMar>
              <w:top w:w="0" w:type="dxa"/>
              <w:bottom w:w="0" w:type="dxa"/>
            </w:tcMar>
            <w:vAlign w:val="center"/>
          </w:tcPr>
          <w:p w14:paraId="20113F26" w14:textId="77777777" w:rsidR="004156D6"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50B0625B" w14:textId="77777777" w:rsidR="004156D6" w:rsidRDefault="00000000">
            <w:pPr>
              <w:keepNext/>
              <w:keepLines/>
              <w:spacing w:after="0" w:line="240" w:lineRule="auto"/>
            </w:pPr>
            <w:r>
              <w:rPr>
                <w:sz w:val="18"/>
              </w:rPr>
              <w:t>V009</w:t>
            </w:r>
          </w:p>
        </w:tc>
        <w:tc>
          <w:tcPr>
            <w:tcW w:w="1860" w:type="dxa"/>
            <w:tcMar>
              <w:top w:w="0" w:type="dxa"/>
              <w:bottom w:w="0" w:type="dxa"/>
            </w:tcMar>
            <w:vAlign w:val="center"/>
          </w:tcPr>
          <w:p w14:paraId="19BA16D3" w14:textId="77777777" w:rsidR="004156D6" w:rsidRDefault="00000000">
            <w:pPr>
              <w:keepNext/>
              <w:keepLines/>
              <w:spacing w:after="0" w:line="240" w:lineRule="auto"/>
              <w:jc w:val="right"/>
            </w:pPr>
            <w:r>
              <w:rPr>
                <w:sz w:val="18"/>
              </w:rPr>
              <w:t>332.364,47</w:t>
            </w:r>
          </w:p>
        </w:tc>
        <w:tc>
          <w:tcPr>
            <w:tcW w:w="700" w:type="dxa"/>
            <w:tcMar>
              <w:top w:w="0" w:type="dxa"/>
              <w:bottom w:w="0" w:type="dxa"/>
            </w:tcMar>
            <w:vAlign w:val="center"/>
          </w:tcPr>
          <w:p w14:paraId="130A675C" w14:textId="77777777" w:rsidR="004156D6" w:rsidRDefault="00000000">
            <w:pPr>
              <w:keepNext/>
              <w:keepLines/>
              <w:spacing w:after="0" w:line="240" w:lineRule="auto"/>
              <w:jc w:val="right"/>
            </w:pPr>
            <w:r>
              <w:rPr>
                <w:sz w:val="18"/>
              </w:rPr>
              <w:t>-</w:t>
            </w:r>
          </w:p>
        </w:tc>
      </w:tr>
    </w:tbl>
    <w:p w14:paraId="5CF90DE3" w14:textId="77777777" w:rsidR="004156D6" w:rsidRDefault="004156D6">
      <w:pPr>
        <w:spacing w:after="0"/>
      </w:pPr>
    </w:p>
    <w:p w14:paraId="5996B31A" w14:textId="77777777" w:rsidR="004156D6" w:rsidRDefault="00000000">
      <w:r>
        <w:t>Od ukupnog iznosa nepodmirenih obveza, 332.364,47 eura se odnosi na nedospjele obveze. Nepodmirene nedospjele obveze sastoje se od obveza za rashode poslovanja (rashodi za zaposlene i materijalni rashodi), obveza za nabavu nefinancijske imovine te od međusobnih obveza subjekata općeg proračuna.</w:t>
      </w:r>
    </w:p>
    <w:p w14:paraId="0561CD08" w14:textId="77777777" w:rsidR="004156D6" w:rsidRDefault="004156D6"/>
    <w:p w14:paraId="1403648E" w14:textId="77777777" w:rsidR="004156D6"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156D6" w14:paraId="3028C3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355B59" w14:textId="77777777" w:rsidR="004156D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FE5546" w14:textId="77777777" w:rsidR="004156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1A4681" w14:textId="77777777" w:rsidR="004156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0FA82A" w14:textId="77777777" w:rsidR="004156D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8B34347" w14:textId="77777777" w:rsidR="004156D6" w:rsidRDefault="00000000">
            <w:pPr>
              <w:keepNext/>
              <w:keepLines/>
              <w:spacing w:after="0" w:line="240" w:lineRule="auto"/>
              <w:jc w:val="center"/>
            </w:pPr>
            <w:r>
              <w:rPr>
                <w:b/>
                <w:sz w:val="18"/>
              </w:rPr>
              <w:t>Indeks (%)</w:t>
            </w:r>
          </w:p>
        </w:tc>
      </w:tr>
      <w:tr w:rsidR="004156D6" w14:paraId="7173F295" w14:textId="77777777">
        <w:tblPrEx>
          <w:tblCellMar>
            <w:top w:w="0" w:type="dxa"/>
            <w:bottom w:w="0" w:type="dxa"/>
          </w:tblCellMar>
        </w:tblPrEx>
        <w:trPr>
          <w:cantSplit/>
          <w:trHeight w:val="560"/>
        </w:trPr>
        <w:tc>
          <w:tcPr>
            <w:tcW w:w="700" w:type="dxa"/>
            <w:tcMar>
              <w:top w:w="0" w:type="dxa"/>
              <w:bottom w:w="0" w:type="dxa"/>
            </w:tcMar>
            <w:vAlign w:val="center"/>
          </w:tcPr>
          <w:p w14:paraId="26DFDA24" w14:textId="77777777" w:rsidR="004156D6" w:rsidRDefault="004156D6">
            <w:pPr>
              <w:keepNext/>
              <w:keepLines/>
              <w:spacing w:after="0" w:line="240" w:lineRule="auto"/>
            </w:pPr>
          </w:p>
        </w:tc>
        <w:tc>
          <w:tcPr>
            <w:tcW w:w="3180" w:type="dxa"/>
            <w:tcMar>
              <w:top w:w="0" w:type="dxa"/>
              <w:bottom w:w="0" w:type="dxa"/>
            </w:tcMar>
            <w:vAlign w:val="center"/>
          </w:tcPr>
          <w:p w14:paraId="74C0611B" w14:textId="77777777" w:rsidR="004156D6"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135A3455" w14:textId="77777777" w:rsidR="004156D6" w:rsidRDefault="00000000">
            <w:pPr>
              <w:keepNext/>
              <w:keepLines/>
              <w:spacing w:after="0" w:line="240" w:lineRule="auto"/>
            </w:pPr>
            <w:r>
              <w:rPr>
                <w:sz w:val="18"/>
              </w:rPr>
              <w:t>V010</w:t>
            </w:r>
          </w:p>
        </w:tc>
        <w:tc>
          <w:tcPr>
            <w:tcW w:w="1860" w:type="dxa"/>
            <w:tcMar>
              <w:top w:w="0" w:type="dxa"/>
              <w:bottom w:w="0" w:type="dxa"/>
            </w:tcMar>
            <w:vAlign w:val="center"/>
          </w:tcPr>
          <w:p w14:paraId="06966D89" w14:textId="77777777" w:rsidR="004156D6" w:rsidRDefault="00000000">
            <w:pPr>
              <w:keepNext/>
              <w:keepLines/>
              <w:spacing w:after="0" w:line="240" w:lineRule="auto"/>
              <w:jc w:val="right"/>
            </w:pPr>
            <w:r>
              <w:rPr>
                <w:sz w:val="18"/>
              </w:rPr>
              <w:t>265.632,35</w:t>
            </w:r>
          </w:p>
        </w:tc>
        <w:tc>
          <w:tcPr>
            <w:tcW w:w="700" w:type="dxa"/>
            <w:tcMar>
              <w:top w:w="0" w:type="dxa"/>
              <w:bottom w:w="0" w:type="dxa"/>
            </w:tcMar>
            <w:vAlign w:val="center"/>
          </w:tcPr>
          <w:p w14:paraId="53F4CD47" w14:textId="77777777" w:rsidR="004156D6" w:rsidRDefault="00000000">
            <w:pPr>
              <w:keepNext/>
              <w:keepLines/>
              <w:spacing w:after="0" w:line="240" w:lineRule="auto"/>
              <w:jc w:val="right"/>
            </w:pPr>
            <w:r>
              <w:rPr>
                <w:sz w:val="18"/>
              </w:rPr>
              <w:t>-</w:t>
            </w:r>
          </w:p>
        </w:tc>
      </w:tr>
    </w:tbl>
    <w:p w14:paraId="082E3D83" w14:textId="77777777" w:rsidR="004156D6" w:rsidRDefault="004156D6">
      <w:pPr>
        <w:spacing w:after="0"/>
      </w:pPr>
    </w:p>
    <w:p w14:paraId="70FA75F8" w14:textId="77777777" w:rsidR="004156D6" w:rsidRDefault="00000000">
      <w:r>
        <w:t>Međusobne obveze subjekata općeg proračuna i to nedospjele se odnose na:</w:t>
      </w:r>
    </w:p>
    <w:p w14:paraId="538CB1D0" w14:textId="77777777" w:rsidR="004156D6" w:rsidRDefault="00000000">
      <w:pPr>
        <w:pStyle w:val="Odlomakpopisa"/>
        <w:numPr>
          <w:ilvl w:val="0"/>
          <w:numId w:val="1"/>
        </w:numPr>
      </w:pPr>
      <w:r>
        <w:t>Grad Šibenik - komunalna naknada 50,23 eura</w:t>
      </w:r>
    </w:p>
    <w:p w14:paraId="578E692E" w14:textId="77777777" w:rsidR="004156D6" w:rsidRDefault="00000000">
      <w:pPr>
        <w:pStyle w:val="Odlomakpopisa"/>
        <w:numPr>
          <w:ilvl w:val="0"/>
          <w:numId w:val="1"/>
        </w:numPr>
      </w:pPr>
      <w:r>
        <w:lastRenderedPageBreak/>
        <w:t>JVP Grada Šibenika - vatrodojava 123,60 eura</w:t>
      </w:r>
    </w:p>
    <w:p w14:paraId="0D65E3C7" w14:textId="77777777" w:rsidR="004156D6" w:rsidRDefault="00000000">
      <w:pPr>
        <w:pStyle w:val="Odlomakpopisa"/>
        <w:numPr>
          <w:ilvl w:val="0"/>
          <w:numId w:val="1"/>
        </w:numPr>
      </w:pPr>
      <w:r>
        <w:t>Obveze za EU predujmove dane iz državnog proračuna 265.458,52 eura</w:t>
      </w:r>
    </w:p>
    <w:p w14:paraId="18E00982" w14:textId="77777777" w:rsidR="004156D6" w:rsidRDefault="004156D6"/>
    <w:p w14:paraId="65D98D40" w14:textId="77777777" w:rsidR="004156D6" w:rsidRDefault="00000000">
      <w:pPr>
        <w:keepNext/>
        <w:spacing w:line="240" w:lineRule="auto"/>
        <w:jc w:val="center"/>
      </w:pPr>
      <w:r>
        <w:rPr>
          <w:sz w:val="28"/>
        </w:rPr>
        <w:t>Bilješka 69.</w:t>
      </w:r>
    </w:p>
    <w:p w14:paraId="660CC5F6" w14:textId="77777777" w:rsidR="004156D6" w:rsidRDefault="00000000">
      <w:pPr>
        <w:spacing w:line="240" w:lineRule="auto"/>
        <w:jc w:val="both"/>
      </w:pPr>
      <w:r>
        <w:rPr>
          <w:b/>
        </w:rPr>
        <w:t>EU izvještaj</w:t>
      </w:r>
    </w:p>
    <w:p w14:paraId="131355EC" w14:textId="77777777" w:rsidR="004156D6" w:rsidRDefault="00000000">
      <w:r>
        <w:t>U 2025. godini imamo evidentirana EU sredstva i to za:</w:t>
      </w:r>
    </w:p>
    <w:p w14:paraId="67D3F342" w14:textId="77777777" w:rsidR="004156D6" w:rsidRDefault="00000000">
      <w:r>
        <w:rPr>
          <w:b/>
        </w:rPr>
        <w:t>510 Programe Unije</w:t>
      </w:r>
      <w:r>
        <w:t xml:space="preserve"> - Program Erasmus+, Aktivnosti osposobljavanja i suradnje</w:t>
      </w:r>
    </w:p>
    <w:p w14:paraId="4928117A" w14:textId="77777777" w:rsidR="004156D6" w:rsidRDefault="00000000">
      <w:r>
        <w:t>Prema Odluci o odabiru sudionika za sudjelovanje. Po ovom izvoru evidentirano je  prihoda 437,23 eura i rashoda 437,23 eura. Rashodi se odnose na materijalne rashode. Nisu evidentirani obračunati prihodi poslovanja jer se nisu podnosili Zahtjevi za nadoknadu sredstava, već preko Zahtjeva za refundaciju nakon sudjelovanja na Aktivnosti.</w:t>
      </w:r>
    </w:p>
    <w:p w14:paraId="213361BE" w14:textId="77777777" w:rsidR="004156D6" w:rsidRDefault="00000000">
      <w:r>
        <w:rPr>
          <w:b/>
        </w:rPr>
        <w:t xml:space="preserve">581 Mehanizam za oporavak i otpornost-bespovratna sredstva </w:t>
      </w:r>
      <w:r>
        <w:t>- Energetska obnova Muzeja grada Šibenika (NPOO.C6.1.R1-13.01)</w:t>
      </w:r>
    </w:p>
    <w:p w14:paraId="4B39897E" w14:textId="77777777" w:rsidR="004156D6" w:rsidRDefault="00000000">
      <w:r>
        <w:t>Prema Ugovoru o dodjeli bespovratnih sredstava za projekte koji se financiraju iz Mehanizma za oporavak i otpornost. Ukupna vrijednost projekta je 1.369.728,29 eura. Dodijeljena su bespovratna sredstva u iznosu od 1.327.292,62 eura.</w:t>
      </w:r>
    </w:p>
    <w:p w14:paraId="795C8DF2" w14:textId="77777777" w:rsidR="004156D6" w:rsidRDefault="00000000">
      <w:r>
        <w:t>Evidentirano je 4.993,80 eura prihoda po odobrenim ZNS-ovima za plaće administrativne koordinatorice, 8.306,30 eura rashoda poslovanja te 204.520,56 rashoda za nabavu nefinancijske imovine.</w:t>
      </w:r>
    </w:p>
    <w:p w14:paraId="6EBE81AF" w14:textId="77777777" w:rsidR="004156D6" w:rsidRDefault="00000000">
      <w:r>
        <w:t>Obračunati prihodi poslovanja iznose 4.993,80 eura i odgovaraju podnesenim Zahtjevima za nadoknadu sredstava.</w:t>
      </w:r>
    </w:p>
    <w:p w14:paraId="1D8211AF" w14:textId="77777777" w:rsidR="004156D6" w:rsidRDefault="00000000">
      <w:r>
        <w:t>Uplaćeni predujam u iznosu 265.458,52 eura evidentiran je na obvezama za EU predujmove.</w:t>
      </w:r>
    </w:p>
    <w:p w14:paraId="21ED2AD6" w14:textId="77777777" w:rsidR="004156D6" w:rsidRDefault="00000000">
      <w:proofErr w:type="spellStart"/>
      <w:r>
        <w:t>Izvanbilančni</w:t>
      </w:r>
      <w:proofErr w:type="spellEnd"/>
      <w:r>
        <w:t xml:space="preserve"> zapisi bilježe stanje na zadnji dan izvještajnog razdoblja po potraživanjima po ugovorima o dodijeljenim bespovratnim sredstvima.</w:t>
      </w:r>
    </w:p>
    <w:p w14:paraId="2291196D" w14:textId="77777777" w:rsidR="004156D6" w:rsidRDefault="00000000">
      <w:r>
        <w:t> </w:t>
      </w:r>
    </w:p>
    <w:p w14:paraId="33894197" w14:textId="77777777" w:rsidR="004156D6" w:rsidRDefault="00000000">
      <w:r>
        <w:t> </w:t>
      </w:r>
    </w:p>
    <w:p w14:paraId="33A61346" w14:textId="77777777" w:rsidR="004156D6" w:rsidRDefault="004156D6"/>
    <w:sectPr w:rsidR="00415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028C8"/>
    <w:multiLevelType w:val="hybridMultilevel"/>
    <w:tmpl w:val="E812B180"/>
    <w:name w:val="decimal"/>
    <w:lvl w:ilvl="0" w:tplc="12AC8F3C">
      <w:start w:val="1"/>
      <w:numFmt w:val="decimal"/>
      <w:lvlText w:val="%1."/>
      <w:lvlJc w:val="left"/>
      <w:pPr>
        <w:ind w:left="720" w:hanging="360"/>
      </w:pPr>
    </w:lvl>
    <w:lvl w:ilvl="1" w:tplc="5ACA8538">
      <w:start w:val="1"/>
      <w:numFmt w:val="decimal"/>
      <w:lvlText w:val="%2."/>
      <w:lvlJc w:val="left"/>
      <w:pPr>
        <w:ind w:left="1440" w:hanging="360"/>
      </w:pPr>
    </w:lvl>
    <w:lvl w:ilvl="2" w:tplc="3E2A5036">
      <w:start w:val="1"/>
      <w:numFmt w:val="decimal"/>
      <w:lvlText w:val="%3."/>
      <w:lvlJc w:val="left"/>
      <w:pPr>
        <w:ind w:left="2160" w:hanging="360"/>
      </w:pPr>
    </w:lvl>
    <w:lvl w:ilvl="3" w:tplc="7B4C8EFC">
      <w:start w:val="1"/>
      <w:numFmt w:val="decimal"/>
      <w:lvlText w:val="%4."/>
      <w:lvlJc w:val="left"/>
      <w:pPr>
        <w:ind w:left="2880" w:hanging="360"/>
      </w:pPr>
    </w:lvl>
    <w:lvl w:ilvl="4" w:tplc="FC18CB9E">
      <w:start w:val="1"/>
      <w:numFmt w:val="decimal"/>
      <w:lvlText w:val="%5."/>
      <w:lvlJc w:val="left"/>
      <w:pPr>
        <w:ind w:left="3600" w:hanging="360"/>
      </w:pPr>
    </w:lvl>
    <w:lvl w:ilvl="5" w:tplc="05087B48">
      <w:start w:val="1"/>
      <w:numFmt w:val="decimal"/>
      <w:lvlText w:val="%6."/>
      <w:lvlJc w:val="left"/>
      <w:pPr>
        <w:ind w:left="4320" w:hanging="360"/>
      </w:pPr>
    </w:lvl>
    <w:lvl w:ilvl="6" w:tplc="1A02265A">
      <w:start w:val="1"/>
      <w:numFmt w:val="decimal"/>
      <w:lvlText w:val="%7."/>
      <w:lvlJc w:val="left"/>
      <w:pPr>
        <w:ind w:left="5040" w:hanging="360"/>
      </w:pPr>
    </w:lvl>
    <w:lvl w:ilvl="7" w:tplc="C120980A">
      <w:start w:val="1"/>
      <w:numFmt w:val="decimal"/>
      <w:lvlText w:val="%8."/>
      <w:lvlJc w:val="left"/>
      <w:pPr>
        <w:ind w:left="5760" w:hanging="360"/>
      </w:pPr>
    </w:lvl>
    <w:lvl w:ilvl="8" w:tplc="46FC95AA">
      <w:start w:val="1"/>
      <w:numFmt w:val="decimal"/>
      <w:lvlText w:val="%9."/>
      <w:lvlJc w:val="left"/>
      <w:pPr>
        <w:ind w:left="6480" w:hanging="360"/>
      </w:pPr>
    </w:lvl>
  </w:abstractNum>
  <w:num w:numId="1" w16cid:durableId="16727572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D6"/>
    <w:rsid w:val="004156D6"/>
    <w:rsid w:val="00591B53"/>
    <w:rsid w:val="007C03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461D"/>
  <w15:docId w15:val="{7C65A419-2C63-4BB9-8AF0-627ECF66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5122</Words>
  <Characters>29199</Characters>
  <Application>Microsoft Office Word</Application>
  <DocSecurity>0</DocSecurity>
  <Lines>243</Lines>
  <Paragraphs>68</Paragraphs>
  <ScaleCrop>false</ScaleCrop>
  <Company/>
  <LinksUpToDate>false</LinksUpToDate>
  <CharactersWithSpaces>34253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Karađole</cp:lastModifiedBy>
  <cp:revision>2</cp:revision>
  <dcterms:created xsi:type="dcterms:W3CDTF">2026-02-04T11:06:00Z</dcterms:created>
  <dcterms:modified xsi:type="dcterms:W3CDTF">2026-02-04T11:06:00Z</dcterms:modified>
</cp:coreProperties>
</file>